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227" w:rsidRPr="006A53B7" w:rsidRDefault="00BA4227" w:rsidP="00331CC2">
      <w:pPr>
        <w:spacing w:before="0" w:after="0"/>
        <w:rPr>
          <w:sz w:val="24"/>
          <w:szCs w:val="24"/>
        </w:rPr>
      </w:pPr>
      <w:bookmarkStart w:id="0" w:name="_Hlk25151940"/>
      <w:r w:rsidRPr="00800CC8">
        <w:rPr>
          <w:sz w:val="20"/>
          <w:szCs w:val="24"/>
        </w:rPr>
        <w:t>Stock Code:</w:t>
      </w:r>
      <w:bookmarkEnd w:id="0"/>
      <w:r w:rsidR="00C95CF5" w:rsidRPr="00800CC8">
        <w:rPr>
          <w:sz w:val="20"/>
          <w:szCs w:val="24"/>
        </w:rPr>
        <w:t xml:space="preserve"> </w:t>
      </w:r>
      <w:r w:rsidRPr="00800CC8">
        <w:rPr>
          <w:sz w:val="20"/>
          <w:szCs w:val="24"/>
        </w:rPr>
        <w:t>300748</w:t>
      </w:r>
      <w:r w:rsidR="00DE1C21">
        <w:rPr>
          <w:sz w:val="24"/>
          <w:szCs w:val="24"/>
        </w:rPr>
        <w:t xml:space="preserve">               </w:t>
      </w:r>
      <w:r w:rsidRPr="00800CC8">
        <w:rPr>
          <w:sz w:val="20"/>
          <w:szCs w:val="24"/>
        </w:rPr>
        <w:t xml:space="preserve">Stock </w:t>
      </w:r>
      <w:r w:rsidR="00180414">
        <w:rPr>
          <w:sz w:val="20"/>
          <w:szCs w:val="24"/>
        </w:rPr>
        <w:t>A</w:t>
      </w:r>
      <w:r w:rsidR="00180414" w:rsidRPr="00180414">
        <w:rPr>
          <w:sz w:val="20"/>
          <w:szCs w:val="24"/>
        </w:rPr>
        <w:t>bbreviation</w:t>
      </w:r>
      <w:r w:rsidRPr="00800CC8">
        <w:rPr>
          <w:sz w:val="20"/>
          <w:szCs w:val="24"/>
        </w:rPr>
        <w:t>: JL MAG</w:t>
      </w:r>
      <w:r w:rsidRPr="006A53B7">
        <w:rPr>
          <w:sz w:val="24"/>
          <w:szCs w:val="24"/>
        </w:rPr>
        <w:t xml:space="preserve"> </w:t>
      </w:r>
    </w:p>
    <w:p w:rsidR="00BA4227" w:rsidRPr="00800CC8" w:rsidRDefault="00BA4227" w:rsidP="00331CC2">
      <w:pPr>
        <w:spacing w:before="0" w:after="0"/>
        <w:jc w:val="right"/>
        <w:rPr>
          <w:sz w:val="20"/>
          <w:szCs w:val="24"/>
        </w:rPr>
      </w:pPr>
      <w:r w:rsidRPr="00800CC8">
        <w:rPr>
          <w:sz w:val="20"/>
          <w:szCs w:val="24"/>
        </w:rPr>
        <w:t>Announcement Number: 2020-017</w:t>
      </w:r>
    </w:p>
    <w:p w:rsidR="00BA4227" w:rsidRPr="00800CC8" w:rsidRDefault="00BA4227" w:rsidP="00331CC2">
      <w:pPr>
        <w:spacing w:before="0" w:after="0"/>
        <w:rPr>
          <w:sz w:val="20"/>
          <w:szCs w:val="24"/>
        </w:rPr>
      </w:pPr>
      <w:r w:rsidRPr="00800CC8">
        <w:rPr>
          <w:sz w:val="20"/>
          <w:szCs w:val="24"/>
        </w:rPr>
        <w:t>Bond Code:</w:t>
      </w:r>
      <w:r w:rsidR="00C95CF5" w:rsidRPr="00800CC8">
        <w:rPr>
          <w:sz w:val="20"/>
          <w:szCs w:val="24"/>
        </w:rPr>
        <w:t xml:space="preserve"> </w:t>
      </w:r>
      <w:r w:rsidRPr="00800CC8">
        <w:rPr>
          <w:sz w:val="20"/>
          <w:szCs w:val="24"/>
        </w:rPr>
        <w:t xml:space="preserve">123033 </w:t>
      </w:r>
      <w:r w:rsidR="00DE1C21">
        <w:rPr>
          <w:sz w:val="24"/>
          <w:szCs w:val="24"/>
        </w:rPr>
        <w:t xml:space="preserve">              </w:t>
      </w:r>
      <w:r w:rsidRPr="00800CC8">
        <w:rPr>
          <w:sz w:val="20"/>
          <w:szCs w:val="24"/>
        </w:rPr>
        <w:t>Bond Name: JLMAG Convertible Bond</w:t>
      </w:r>
    </w:p>
    <w:p w:rsidR="00BA4227" w:rsidRPr="006A53B7" w:rsidRDefault="00BA4227" w:rsidP="00331CC2">
      <w:pPr>
        <w:spacing w:before="0" w:after="0"/>
        <w:rPr>
          <w:sz w:val="24"/>
          <w:szCs w:val="24"/>
        </w:rPr>
      </w:pPr>
    </w:p>
    <w:p w:rsidR="00BA4227" w:rsidRPr="006A53B7" w:rsidRDefault="00195399" w:rsidP="00331CC2">
      <w:pPr>
        <w:spacing w:before="0" w:after="0" w:line="360" w:lineRule="auto"/>
        <w:jc w:val="center"/>
        <w:rPr>
          <w:b/>
          <w:bCs/>
          <w:sz w:val="24"/>
          <w:szCs w:val="24"/>
        </w:rPr>
      </w:pPr>
      <w:r>
        <w:rPr>
          <w:b/>
          <w:sz w:val="24"/>
          <w:szCs w:val="24"/>
        </w:rPr>
        <w:t>JL MAG Rare-Earth Co., Ltd.</w:t>
      </w:r>
    </w:p>
    <w:p w:rsidR="00BA4227" w:rsidRPr="006A53B7" w:rsidRDefault="00180414" w:rsidP="00331CC2">
      <w:pPr>
        <w:spacing w:before="0" w:after="0" w:line="360" w:lineRule="auto"/>
        <w:jc w:val="center"/>
        <w:rPr>
          <w:b/>
          <w:bCs/>
          <w:sz w:val="24"/>
          <w:szCs w:val="24"/>
        </w:rPr>
      </w:pPr>
      <w:r>
        <w:rPr>
          <w:b/>
          <w:sz w:val="24"/>
          <w:szCs w:val="24"/>
        </w:rPr>
        <w:t>Abstract</w:t>
      </w:r>
      <w:r w:rsidRPr="006A53B7">
        <w:rPr>
          <w:b/>
          <w:sz w:val="24"/>
          <w:szCs w:val="24"/>
        </w:rPr>
        <w:t xml:space="preserve"> </w:t>
      </w:r>
      <w:r w:rsidR="00BA4227" w:rsidRPr="006A53B7">
        <w:rPr>
          <w:b/>
          <w:sz w:val="24"/>
          <w:szCs w:val="24"/>
        </w:rPr>
        <w:t>of the 2019 Annual Report</w:t>
      </w:r>
    </w:p>
    <w:p w:rsidR="00BA4227" w:rsidRPr="006A53B7" w:rsidRDefault="00BA4227" w:rsidP="00331CC2">
      <w:pPr>
        <w:pStyle w:val="Chapter"/>
        <w:outlineLvl w:val="1"/>
      </w:pPr>
      <w:r w:rsidRPr="006A53B7">
        <w:t xml:space="preserve">I. IMPORTANT </w:t>
      </w:r>
      <w:r w:rsidR="00237B38">
        <w:t>STATEMENTS</w:t>
      </w:r>
    </w:p>
    <w:p w:rsidR="00BA4227" w:rsidRPr="006A53B7" w:rsidRDefault="00BA4227" w:rsidP="00331CC2">
      <w:pPr>
        <w:spacing w:before="0" w:after="0" w:line="360" w:lineRule="auto"/>
        <w:rPr>
          <w:sz w:val="24"/>
          <w:szCs w:val="24"/>
        </w:rPr>
      </w:pPr>
      <w:r w:rsidRPr="006A53B7">
        <w:rPr>
          <w:sz w:val="24"/>
          <w:szCs w:val="24"/>
        </w:rPr>
        <w:t xml:space="preserve">The </w:t>
      </w:r>
      <w:r w:rsidR="00180414">
        <w:rPr>
          <w:sz w:val="24"/>
          <w:szCs w:val="24"/>
        </w:rPr>
        <w:t>Abstract</w:t>
      </w:r>
      <w:r w:rsidR="00180414" w:rsidRPr="006A53B7">
        <w:rPr>
          <w:sz w:val="24"/>
          <w:szCs w:val="24"/>
        </w:rPr>
        <w:t xml:space="preserve"> </w:t>
      </w:r>
      <w:r w:rsidRPr="006A53B7">
        <w:rPr>
          <w:sz w:val="24"/>
          <w:szCs w:val="24"/>
        </w:rPr>
        <w:t>of the Annu</w:t>
      </w:r>
      <w:r w:rsidR="00581579" w:rsidRPr="006A53B7">
        <w:rPr>
          <w:sz w:val="24"/>
          <w:szCs w:val="24"/>
        </w:rPr>
        <w:t>al Report is excerpted from the</w:t>
      </w:r>
      <w:r w:rsidRPr="006A53B7">
        <w:rPr>
          <w:sz w:val="24"/>
          <w:szCs w:val="24"/>
        </w:rPr>
        <w:t xml:space="preserve"> Annual Report. Investors are advised to carefully read through the whole report on </w:t>
      </w:r>
      <w:r w:rsidR="007C7AF3" w:rsidRPr="006A53B7">
        <w:rPr>
          <w:sz w:val="24"/>
          <w:szCs w:val="24"/>
        </w:rPr>
        <w:t xml:space="preserve">the </w:t>
      </w:r>
      <w:r w:rsidRPr="006A53B7">
        <w:rPr>
          <w:sz w:val="24"/>
          <w:szCs w:val="24"/>
        </w:rPr>
        <w:t xml:space="preserve">media </w:t>
      </w:r>
      <w:r w:rsidR="00A0516A" w:rsidRPr="006A53B7">
        <w:rPr>
          <w:sz w:val="24"/>
          <w:szCs w:val="24"/>
        </w:rPr>
        <w:t xml:space="preserve">specified </w:t>
      </w:r>
      <w:r w:rsidRPr="006A53B7">
        <w:rPr>
          <w:sz w:val="24"/>
          <w:szCs w:val="24"/>
        </w:rPr>
        <w:t xml:space="preserve">by the CSRC for the </w:t>
      </w:r>
      <w:r w:rsidR="00A0516A" w:rsidRPr="006A53B7">
        <w:rPr>
          <w:sz w:val="24"/>
          <w:szCs w:val="24"/>
        </w:rPr>
        <w:t xml:space="preserve">complete </w:t>
      </w:r>
      <w:r w:rsidRPr="006A53B7">
        <w:rPr>
          <w:sz w:val="24"/>
          <w:szCs w:val="24"/>
        </w:rPr>
        <w:t xml:space="preserve">picture of the </w:t>
      </w:r>
      <w:r w:rsidR="00B46D0C" w:rsidRPr="006A53B7">
        <w:rPr>
          <w:sz w:val="24"/>
          <w:szCs w:val="24"/>
        </w:rPr>
        <w:t>C</w:t>
      </w:r>
      <w:r w:rsidRPr="006A53B7">
        <w:rPr>
          <w:sz w:val="24"/>
          <w:szCs w:val="24"/>
        </w:rPr>
        <w:t>ompany</w:t>
      </w:r>
      <w:r w:rsidR="0023423F" w:rsidRPr="006A53B7">
        <w:rPr>
          <w:sz w:val="24"/>
          <w:szCs w:val="24"/>
        </w:rPr>
        <w:t>’</w:t>
      </w:r>
      <w:r w:rsidRPr="006A53B7">
        <w:rPr>
          <w:sz w:val="24"/>
          <w:szCs w:val="24"/>
        </w:rPr>
        <w:t>s operating</w:t>
      </w:r>
      <w:r w:rsidR="00CA33DB" w:rsidRPr="006A53B7">
        <w:rPr>
          <w:sz w:val="24"/>
          <w:szCs w:val="24"/>
        </w:rPr>
        <w:t xml:space="preserve"> </w:t>
      </w:r>
      <w:r w:rsidRPr="006A53B7">
        <w:rPr>
          <w:sz w:val="24"/>
          <w:szCs w:val="24"/>
        </w:rPr>
        <w:t>results, financial position and future development plan.</w:t>
      </w:r>
    </w:p>
    <w:p w:rsidR="00BA4227" w:rsidRPr="006A53B7" w:rsidRDefault="00BA4227" w:rsidP="00331CC2">
      <w:pPr>
        <w:spacing w:before="0" w:after="0" w:line="360" w:lineRule="auto"/>
        <w:rPr>
          <w:sz w:val="24"/>
          <w:szCs w:val="24"/>
        </w:rPr>
      </w:pPr>
      <w:r w:rsidRPr="006A53B7">
        <w:rPr>
          <w:sz w:val="24"/>
          <w:szCs w:val="24"/>
        </w:rPr>
        <w:t xml:space="preserve">All the directors except the one </w:t>
      </w:r>
      <w:r w:rsidR="00A0516A" w:rsidRPr="006A53B7">
        <w:rPr>
          <w:sz w:val="24"/>
          <w:szCs w:val="24"/>
        </w:rPr>
        <w:t xml:space="preserve">highlighted below </w:t>
      </w:r>
      <w:r w:rsidRPr="006A53B7">
        <w:rPr>
          <w:sz w:val="24"/>
          <w:szCs w:val="24"/>
        </w:rPr>
        <w:t>attended the board meeting which reviewed the Annual Report</w:t>
      </w:r>
      <w:r w:rsidR="00E26598" w:rsidRPr="006A53B7">
        <w:rPr>
          <w:sz w:val="24"/>
          <w:szCs w:val="24"/>
        </w:rPr>
        <w:t>:</w:t>
      </w:r>
    </w:p>
    <w:tbl>
      <w:tblPr>
        <w:tblW w:w="5000" w:type="pct"/>
        <w:tblCellMar>
          <w:left w:w="28" w:type="dxa"/>
          <w:right w:w="28" w:type="dxa"/>
        </w:tblCellMar>
        <w:tblLook w:val="0000" w:firstRow="0" w:lastRow="0" w:firstColumn="0" w:lastColumn="0" w:noHBand="0" w:noVBand="0"/>
      </w:tblPr>
      <w:tblGrid>
        <w:gridCol w:w="2407"/>
        <w:gridCol w:w="2407"/>
        <w:gridCol w:w="2407"/>
        <w:gridCol w:w="2407"/>
      </w:tblGrid>
      <w:tr w:rsidR="00BA4227" w:rsidRPr="006A53B7" w:rsidTr="00BA4227">
        <w:trPr>
          <w:cantSplit/>
        </w:trPr>
        <w:tc>
          <w:tcPr>
            <w:tcW w:w="1250" w:type="pct"/>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rPr>
                <w:sz w:val="24"/>
                <w:szCs w:val="24"/>
              </w:rPr>
            </w:pPr>
            <w:r w:rsidRPr="006A53B7">
              <w:rPr>
                <w:sz w:val="24"/>
                <w:szCs w:val="24"/>
              </w:rPr>
              <w:t>Name of Director Absent from the Meeting</w:t>
            </w:r>
          </w:p>
        </w:tc>
        <w:tc>
          <w:tcPr>
            <w:tcW w:w="1250" w:type="pct"/>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rPr>
                <w:sz w:val="24"/>
                <w:szCs w:val="24"/>
              </w:rPr>
            </w:pPr>
            <w:r w:rsidRPr="006A53B7">
              <w:rPr>
                <w:sz w:val="24"/>
                <w:szCs w:val="24"/>
              </w:rPr>
              <w:t>Official Title</w:t>
            </w:r>
          </w:p>
        </w:tc>
        <w:tc>
          <w:tcPr>
            <w:tcW w:w="1250" w:type="pct"/>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rPr>
                <w:sz w:val="24"/>
                <w:szCs w:val="24"/>
              </w:rPr>
            </w:pPr>
            <w:r w:rsidRPr="006A53B7">
              <w:rPr>
                <w:sz w:val="24"/>
                <w:szCs w:val="24"/>
              </w:rPr>
              <w:t>Reason</w:t>
            </w:r>
          </w:p>
        </w:tc>
        <w:tc>
          <w:tcPr>
            <w:tcW w:w="1250" w:type="pct"/>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rPr>
                <w:sz w:val="24"/>
                <w:szCs w:val="24"/>
              </w:rPr>
            </w:pPr>
            <w:r w:rsidRPr="006A53B7">
              <w:rPr>
                <w:sz w:val="24"/>
                <w:szCs w:val="24"/>
              </w:rPr>
              <w:t>Name of the Entrusted</w:t>
            </w:r>
          </w:p>
        </w:tc>
      </w:tr>
      <w:tr w:rsidR="00BA4227" w:rsidRPr="006A53B7" w:rsidTr="00BA4227">
        <w:trPr>
          <w:cantSplit/>
        </w:trPr>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left"/>
              <w:rPr>
                <w:sz w:val="24"/>
                <w:szCs w:val="24"/>
              </w:rPr>
            </w:pPr>
            <w:proofErr w:type="spellStart"/>
            <w:r w:rsidRPr="006A53B7">
              <w:rPr>
                <w:sz w:val="24"/>
                <w:szCs w:val="24"/>
              </w:rPr>
              <w:t>Xie</w:t>
            </w:r>
            <w:proofErr w:type="spellEnd"/>
            <w:r w:rsidRPr="006A53B7">
              <w:rPr>
                <w:sz w:val="24"/>
                <w:szCs w:val="24"/>
              </w:rPr>
              <w:t xml:space="preserve"> </w:t>
            </w:r>
            <w:proofErr w:type="spellStart"/>
            <w:r w:rsidRPr="006A53B7">
              <w:rPr>
                <w:sz w:val="24"/>
                <w:szCs w:val="24"/>
              </w:rPr>
              <w:t>Zhihong</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left"/>
              <w:rPr>
                <w:sz w:val="24"/>
                <w:szCs w:val="24"/>
              </w:rPr>
            </w:pPr>
            <w:r w:rsidRPr="006A53B7">
              <w:rPr>
                <w:sz w:val="24"/>
                <w:szCs w:val="24"/>
              </w:rPr>
              <w:t>Director</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left"/>
              <w:rPr>
                <w:sz w:val="24"/>
                <w:szCs w:val="24"/>
              </w:rPr>
            </w:pPr>
            <w:r w:rsidRPr="006A53B7">
              <w:rPr>
                <w:sz w:val="24"/>
                <w:szCs w:val="24"/>
              </w:rPr>
              <w:t>Official</w:t>
            </w:r>
            <w:r w:rsidR="00664E65" w:rsidRPr="006A53B7">
              <w:rPr>
                <w:sz w:val="24"/>
                <w:szCs w:val="24"/>
              </w:rPr>
              <w:t xml:space="preserve"> duty</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left"/>
              <w:rPr>
                <w:sz w:val="24"/>
                <w:szCs w:val="24"/>
              </w:rPr>
            </w:pPr>
            <w:proofErr w:type="spellStart"/>
            <w:r w:rsidRPr="006A53B7">
              <w:rPr>
                <w:sz w:val="24"/>
                <w:szCs w:val="24"/>
              </w:rPr>
              <w:t>Cai</w:t>
            </w:r>
            <w:proofErr w:type="spellEnd"/>
            <w:r w:rsidRPr="006A53B7">
              <w:rPr>
                <w:sz w:val="24"/>
                <w:szCs w:val="24"/>
              </w:rPr>
              <w:t xml:space="preserve"> </w:t>
            </w:r>
            <w:proofErr w:type="spellStart"/>
            <w:r w:rsidRPr="006A53B7">
              <w:rPr>
                <w:sz w:val="24"/>
                <w:szCs w:val="24"/>
              </w:rPr>
              <w:t>Baogui</w:t>
            </w:r>
            <w:proofErr w:type="spellEnd"/>
          </w:p>
        </w:tc>
      </w:tr>
    </w:tbl>
    <w:p w:rsidR="00BA4227" w:rsidRPr="006A53B7" w:rsidRDefault="00BA4227" w:rsidP="00331CC2">
      <w:pPr>
        <w:spacing w:before="0" w:after="0" w:line="360" w:lineRule="auto"/>
        <w:rPr>
          <w:sz w:val="24"/>
          <w:szCs w:val="24"/>
        </w:rPr>
      </w:pPr>
      <w:r w:rsidRPr="006A53B7">
        <w:rPr>
          <w:sz w:val="24"/>
          <w:szCs w:val="24"/>
        </w:rPr>
        <w:t xml:space="preserve">BDO China Shu </w:t>
      </w:r>
      <w:proofErr w:type="spellStart"/>
      <w:r w:rsidRPr="006A53B7">
        <w:rPr>
          <w:sz w:val="24"/>
          <w:szCs w:val="24"/>
        </w:rPr>
        <w:t>Lun</w:t>
      </w:r>
      <w:proofErr w:type="spellEnd"/>
      <w:r w:rsidRPr="006A53B7">
        <w:rPr>
          <w:sz w:val="24"/>
          <w:szCs w:val="24"/>
        </w:rPr>
        <w:t xml:space="preserve"> Pan Ce</w:t>
      </w:r>
      <w:r w:rsidR="0023423F" w:rsidRPr="006A53B7">
        <w:rPr>
          <w:sz w:val="24"/>
          <w:szCs w:val="24"/>
        </w:rPr>
        <w:t xml:space="preserve">rtified Public Accountants LLP </w:t>
      </w:r>
      <w:r w:rsidRPr="006A53B7">
        <w:rPr>
          <w:sz w:val="24"/>
          <w:szCs w:val="24"/>
        </w:rPr>
        <w:t>issued a standard unqualified opinion on the Company</w:t>
      </w:r>
      <w:r w:rsidR="0023423F" w:rsidRPr="006A53B7">
        <w:rPr>
          <w:sz w:val="24"/>
          <w:szCs w:val="24"/>
        </w:rPr>
        <w:t>’</w:t>
      </w:r>
      <w:r w:rsidRPr="006A53B7">
        <w:rPr>
          <w:sz w:val="24"/>
          <w:szCs w:val="24"/>
        </w:rPr>
        <w:t xml:space="preserve">s financial report for the year ended December </w:t>
      </w:r>
      <w:r w:rsidR="00B46D0C" w:rsidRPr="006A53B7">
        <w:rPr>
          <w:sz w:val="24"/>
          <w:szCs w:val="24"/>
        </w:rPr>
        <w:t xml:space="preserve">31, </w:t>
      </w:r>
      <w:r w:rsidRPr="006A53B7">
        <w:rPr>
          <w:sz w:val="24"/>
          <w:szCs w:val="24"/>
        </w:rPr>
        <w:t>2019.</w:t>
      </w:r>
    </w:p>
    <w:p w:rsidR="00BA4227" w:rsidRPr="006A53B7" w:rsidRDefault="00BA4227" w:rsidP="00331CC2">
      <w:pPr>
        <w:spacing w:before="0" w:after="0" w:line="360" w:lineRule="auto"/>
        <w:rPr>
          <w:sz w:val="24"/>
          <w:szCs w:val="24"/>
        </w:rPr>
      </w:pPr>
      <w:r w:rsidRPr="006A53B7">
        <w:rPr>
          <w:sz w:val="24"/>
          <w:szCs w:val="24"/>
        </w:rPr>
        <w:t xml:space="preserve">Change of accounting firm during the reporting period: The Company did not change its accounting firm in 2019. BDO China Shu </w:t>
      </w:r>
      <w:proofErr w:type="spellStart"/>
      <w:r w:rsidRPr="006A53B7">
        <w:rPr>
          <w:sz w:val="24"/>
          <w:szCs w:val="24"/>
        </w:rPr>
        <w:t>Lun</w:t>
      </w:r>
      <w:proofErr w:type="spellEnd"/>
      <w:r w:rsidRPr="006A53B7">
        <w:rPr>
          <w:sz w:val="24"/>
          <w:szCs w:val="24"/>
        </w:rPr>
        <w:t xml:space="preserve"> Pan Certified Public Accountants LLP continued to provide accounting services for the Company.</w:t>
      </w:r>
    </w:p>
    <w:p w:rsidR="00BA4227" w:rsidRPr="006A53B7" w:rsidRDefault="00BA4227" w:rsidP="00331CC2">
      <w:pPr>
        <w:spacing w:before="0" w:after="0" w:line="360" w:lineRule="auto"/>
        <w:rPr>
          <w:sz w:val="24"/>
          <w:szCs w:val="24"/>
        </w:rPr>
      </w:pPr>
      <w:r w:rsidRPr="006A53B7">
        <w:rPr>
          <w:sz w:val="24"/>
          <w:szCs w:val="24"/>
        </w:rPr>
        <w:t>Non-standard auditing opinion</w:t>
      </w:r>
    </w:p>
    <w:p w:rsidR="00BA4227" w:rsidRPr="006A53B7" w:rsidRDefault="00BA4227" w:rsidP="00331CC2">
      <w:pPr>
        <w:spacing w:before="0" w:after="0" w:line="360" w:lineRule="auto"/>
        <w:rPr>
          <w:sz w:val="24"/>
          <w:szCs w:val="24"/>
        </w:rPr>
      </w:pPr>
      <w:r w:rsidRPr="006A53B7">
        <w:rPr>
          <w:sz w:val="24"/>
          <w:szCs w:val="24"/>
          <w:cs/>
        </w:rPr>
        <w:t xml:space="preserve">□ </w:t>
      </w:r>
      <w:r w:rsidRPr="006A53B7">
        <w:rPr>
          <w:sz w:val="24"/>
          <w:szCs w:val="24"/>
        </w:rPr>
        <w:t xml:space="preserve">Applicable     </w:t>
      </w:r>
      <w:r w:rsidRPr="006A53B7">
        <w:rPr>
          <w:sz w:val="24"/>
          <w:szCs w:val="24"/>
          <w:cs/>
        </w:rPr>
        <w:t xml:space="preserve">√ </w:t>
      </w:r>
      <w:r w:rsidRPr="006A53B7">
        <w:rPr>
          <w:sz w:val="24"/>
          <w:szCs w:val="24"/>
        </w:rPr>
        <w:t xml:space="preserve">Not applicable </w:t>
      </w:r>
    </w:p>
    <w:p w:rsidR="00BA4227" w:rsidRPr="006A53B7" w:rsidRDefault="00BA4227" w:rsidP="00331CC2">
      <w:pPr>
        <w:spacing w:before="0" w:after="0" w:line="360" w:lineRule="auto"/>
        <w:rPr>
          <w:sz w:val="24"/>
          <w:szCs w:val="24"/>
        </w:rPr>
      </w:pPr>
      <w:r w:rsidRPr="006A53B7">
        <w:rPr>
          <w:sz w:val="24"/>
          <w:szCs w:val="24"/>
        </w:rPr>
        <w:t xml:space="preserve">Ordinary share profit distribution plan or plan for converting capital reserve to share capital for the reporting period reviewed by the Board of Directors </w:t>
      </w:r>
    </w:p>
    <w:p w:rsidR="00BA4227" w:rsidRPr="006A53B7" w:rsidRDefault="00BA4227" w:rsidP="00331CC2">
      <w:pPr>
        <w:spacing w:before="0" w:after="0" w:line="360" w:lineRule="auto"/>
        <w:rPr>
          <w:sz w:val="24"/>
          <w:szCs w:val="24"/>
        </w:rPr>
      </w:pPr>
      <w:r w:rsidRPr="006A53B7">
        <w:rPr>
          <w:sz w:val="24"/>
          <w:szCs w:val="24"/>
          <w:cs/>
        </w:rPr>
        <w:t xml:space="preserve">√ </w:t>
      </w:r>
      <w:r w:rsidRPr="006A53B7">
        <w:rPr>
          <w:sz w:val="24"/>
          <w:szCs w:val="24"/>
        </w:rPr>
        <w:t xml:space="preserve">Applicable  </w:t>
      </w:r>
      <w:r w:rsidRPr="006A53B7">
        <w:rPr>
          <w:sz w:val="24"/>
          <w:szCs w:val="24"/>
          <w:cs/>
        </w:rPr>
        <w:t xml:space="preserve">□ </w:t>
      </w:r>
      <w:r w:rsidRPr="006A53B7">
        <w:rPr>
          <w:sz w:val="24"/>
          <w:szCs w:val="24"/>
        </w:rPr>
        <w:t xml:space="preserve">Not applicable </w:t>
      </w:r>
    </w:p>
    <w:p w:rsidR="00BA4227" w:rsidRPr="006A53B7" w:rsidRDefault="00BA4227" w:rsidP="00331CC2">
      <w:pPr>
        <w:spacing w:before="0" w:after="0" w:line="360" w:lineRule="auto"/>
        <w:rPr>
          <w:sz w:val="24"/>
          <w:szCs w:val="24"/>
        </w:rPr>
      </w:pPr>
      <w:r w:rsidRPr="006A53B7">
        <w:rPr>
          <w:sz w:val="24"/>
          <w:szCs w:val="24"/>
        </w:rPr>
        <w:t xml:space="preserve">Ordinary share profit distribution plan approved at the Board Meeting of the Company: based on 413,424,188 shares of the Company, distribute a cash dividend of RMB1.1 (before tax) per </w:t>
      </w:r>
      <w:r w:rsidR="00BE2E03" w:rsidRPr="006A53B7">
        <w:rPr>
          <w:sz w:val="24"/>
          <w:szCs w:val="24"/>
        </w:rPr>
        <w:t xml:space="preserve">10 </w:t>
      </w:r>
      <w:r w:rsidRPr="006A53B7">
        <w:rPr>
          <w:sz w:val="24"/>
          <w:szCs w:val="24"/>
        </w:rPr>
        <w:t xml:space="preserve">shares and zero bonus share (before tax) to all the shareholders; and transfer zero share per </w:t>
      </w:r>
      <w:r w:rsidR="00BE2E03" w:rsidRPr="006A53B7">
        <w:rPr>
          <w:sz w:val="24"/>
          <w:szCs w:val="24"/>
        </w:rPr>
        <w:t xml:space="preserve">10 </w:t>
      </w:r>
      <w:r w:rsidRPr="006A53B7">
        <w:rPr>
          <w:sz w:val="24"/>
          <w:szCs w:val="24"/>
        </w:rPr>
        <w:t>shares from the capital reserve to all the shareholders.</w:t>
      </w:r>
    </w:p>
    <w:p w:rsidR="00BA4227" w:rsidRPr="006A53B7" w:rsidRDefault="00BA4227" w:rsidP="00331CC2">
      <w:pPr>
        <w:spacing w:before="0" w:after="0" w:line="360" w:lineRule="auto"/>
        <w:rPr>
          <w:sz w:val="24"/>
          <w:szCs w:val="24"/>
        </w:rPr>
      </w:pPr>
      <w:r w:rsidRPr="006A53B7">
        <w:rPr>
          <w:sz w:val="24"/>
          <w:szCs w:val="24"/>
        </w:rPr>
        <w:t>Preference share profit distribution plan for the reporting period adopted by the Board of Directors through resolution</w:t>
      </w:r>
    </w:p>
    <w:p w:rsidR="00BA4227" w:rsidRPr="006A53B7" w:rsidRDefault="00BA4227" w:rsidP="00331CC2">
      <w:pPr>
        <w:spacing w:before="0" w:after="0" w:line="360" w:lineRule="auto"/>
        <w:rPr>
          <w:sz w:val="24"/>
          <w:szCs w:val="24"/>
        </w:rPr>
      </w:pPr>
      <w:r w:rsidRPr="006A53B7">
        <w:rPr>
          <w:sz w:val="24"/>
          <w:szCs w:val="24"/>
          <w:cs/>
        </w:rPr>
        <w:t xml:space="preserve">□ </w:t>
      </w:r>
      <w:r w:rsidRPr="006A53B7">
        <w:rPr>
          <w:sz w:val="24"/>
          <w:szCs w:val="24"/>
        </w:rPr>
        <w:t xml:space="preserve">Applicable     </w:t>
      </w:r>
      <w:r w:rsidRPr="006A53B7">
        <w:rPr>
          <w:sz w:val="24"/>
          <w:szCs w:val="24"/>
          <w:cs/>
        </w:rPr>
        <w:t xml:space="preserve">√ </w:t>
      </w:r>
      <w:r w:rsidRPr="006A53B7">
        <w:rPr>
          <w:sz w:val="24"/>
          <w:szCs w:val="24"/>
        </w:rPr>
        <w:t xml:space="preserve">Not applicable </w:t>
      </w:r>
    </w:p>
    <w:p w:rsidR="00BA4227" w:rsidRPr="006A53B7" w:rsidRDefault="00BA4227" w:rsidP="00331CC2">
      <w:pPr>
        <w:pStyle w:val="Chapter"/>
        <w:outlineLvl w:val="1"/>
      </w:pPr>
      <w:r w:rsidRPr="006A53B7">
        <w:lastRenderedPageBreak/>
        <w:t xml:space="preserve">II. </w:t>
      </w:r>
      <w:r w:rsidR="00350825">
        <w:t>COMPANY PROFILE</w:t>
      </w:r>
    </w:p>
    <w:p w:rsidR="00BA4227" w:rsidRPr="006A53B7" w:rsidRDefault="00BA4227" w:rsidP="00331CC2">
      <w:pPr>
        <w:pStyle w:val="Section"/>
        <w:outlineLvl w:val="2"/>
        <w:rPr>
          <w:sz w:val="24"/>
          <w:szCs w:val="24"/>
        </w:rPr>
      </w:pPr>
      <w:r w:rsidRPr="006A53B7">
        <w:rPr>
          <w:sz w:val="24"/>
          <w:szCs w:val="24"/>
        </w:rPr>
        <w:t xml:space="preserve">1. </w:t>
      </w:r>
      <w:r w:rsidR="00350825">
        <w:rPr>
          <w:sz w:val="24"/>
          <w:szCs w:val="24"/>
        </w:rPr>
        <w:t>Corporate Information</w:t>
      </w:r>
    </w:p>
    <w:tbl>
      <w:tblPr>
        <w:tblW w:w="0" w:type="auto"/>
        <w:tblInd w:w="28" w:type="dxa"/>
        <w:tblLayout w:type="fixed"/>
        <w:tblCellMar>
          <w:left w:w="28" w:type="dxa"/>
          <w:right w:w="28" w:type="dxa"/>
        </w:tblCellMar>
        <w:tblLook w:val="0000" w:firstRow="0" w:lastRow="0" w:firstColumn="0" w:lastColumn="0" w:noHBand="0" w:noVBand="0"/>
      </w:tblPr>
      <w:tblGrid>
        <w:gridCol w:w="2896"/>
        <w:gridCol w:w="2195"/>
        <w:gridCol w:w="1135"/>
        <w:gridCol w:w="1042"/>
        <w:gridCol w:w="2299"/>
      </w:tblGrid>
      <w:tr w:rsidR="00BA4227" w:rsidRPr="006A53B7">
        <w:trPr>
          <w:cantSplit/>
        </w:trPr>
        <w:tc>
          <w:tcPr>
            <w:tcW w:w="2896"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50825">
            <w:pPr>
              <w:jc w:val="left"/>
              <w:rPr>
                <w:sz w:val="24"/>
                <w:szCs w:val="24"/>
              </w:rPr>
            </w:pPr>
            <w:r w:rsidRPr="006A53B7">
              <w:rPr>
                <w:sz w:val="24"/>
                <w:szCs w:val="24"/>
              </w:rPr>
              <w:t xml:space="preserve">Stock </w:t>
            </w:r>
            <w:r w:rsidR="00350825">
              <w:rPr>
                <w:sz w:val="24"/>
                <w:szCs w:val="24"/>
              </w:rPr>
              <w:t>abbreviation</w:t>
            </w:r>
          </w:p>
        </w:tc>
        <w:tc>
          <w:tcPr>
            <w:tcW w:w="219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rPr>
                <w:sz w:val="24"/>
                <w:szCs w:val="24"/>
              </w:rPr>
            </w:pPr>
            <w:r w:rsidRPr="006A53B7">
              <w:rPr>
                <w:sz w:val="24"/>
                <w:szCs w:val="24"/>
              </w:rPr>
              <w:t>JL MAG</w:t>
            </w:r>
          </w:p>
        </w:tc>
        <w:tc>
          <w:tcPr>
            <w:tcW w:w="2177"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rPr>
                <w:sz w:val="24"/>
                <w:szCs w:val="24"/>
              </w:rPr>
            </w:pPr>
            <w:r w:rsidRPr="006A53B7">
              <w:rPr>
                <w:sz w:val="24"/>
                <w:szCs w:val="24"/>
              </w:rPr>
              <w:t>Stock Code</w:t>
            </w:r>
          </w:p>
        </w:tc>
        <w:tc>
          <w:tcPr>
            <w:tcW w:w="2299"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rPr>
                <w:sz w:val="24"/>
                <w:szCs w:val="24"/>
              </w:rPr>
            </w:pPr>
            <w:r w:rsidRPr="006A53B7">
              <w:rPr>
                <w:sz w:val="24"/>
                <w:szCs w:val="24"/>
              </w:rPr>
              <w:t>300748</w:t>
            </w:r>
          </w:p>
        </w:tc>
      </w:tr>
      <w:tr w:rsidR="00BA4227" w:rsidRPr="006A53B7">
        <w:trPr>
          <w:cantSplit/>
        </w:trPr>
        <w:tc>
          <w:tcPr>
            <w:tcW w:w="2896"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350825" w:rsidP="00350825">
            <w:pPr>
              <w:jc w:val="left"/>
              <w:rPr>
                <w:sz w:val="24"/>
                <w:szCs w:val="24"/>
              </w:rPr>
            </w:pPr>
            <w:r>
              <w:rPr>
                <w:sz w:val="24"/>
                <w:szCs w:val="24"/>
              </w:rPr>
              <w:t>Stock e</w:t>
            </w:r>
            <w:r w:rsidRPr="006A53B7">
              <w:rPr>
                <w:sz w:val="24"/>
                <w:szCs w:val="24"/>
              </w:rPr>
              <w:t xml:space="preserve">xchange </w:t>
            </w:r>
            <w:r>
              <w:rPr>
                <w:sz w:val="24"/>
                <w:szCs w:val="24"/>
              </w:rPr>
              <w:t>w</w:t>
            </w:r>
            <w:r w:rsidRPr="006A53B7">
              <w:rPr>
                <w:sz w:val="24"/>
                <w:szCs w:val="24"/>
              </w:rPr>
              <w:t xml:space="preserve">here </w:t>
            </w:r>
            <w:r>
              <w:rPr>
                <w:sz w:val="24"/>
                <w:szCs w:val="24"/>
              </w:rPr>
              <w:t xml:space="preserve">the shares of the company </w:t>
            </w:r>
            <w:r w:rsidR="00BA4227" w:rsidRPr="006A53B7">
              <w:rPr>
                <w:sz w:val="24"/>
                <w:szCs w:val="24"/>
              </w:rPr>
              <w:t xml:space="preserve">are </w:t>
            </w:r>
            <w:r>
              <w:rPr>
                <w:sz w:val="24"/>
                <w:szCs w:val="24"/>
              </w:rPr>
              <w:t>l</w:t>
            </w:r>
            <w:r w:rsidRPr="006A53B7">
              <w:rPr>
                <w:sz w:val="24"/>
                <w:szCs w:val="24"/>
              </w:rPr>
              <w:t>isted</w:t>
            </w:r>
          </w:p>
        </w:tc>
        <w:tc>
          <w:tcPr>
            <w:tcW w:w="667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left"/>
              <w:rPr>
                <w:sz w:val="24"/>
                <w:szCs w:val="24"/>
              </w:rPr>
            </w:pPr>
            <w:r w:rsidRPr="006A53B7">
              <w:rPr>
                <w:sz w:val="24"/>
                <w:szCs w:val="24"/>
              </w:rPr>
              <w:t>Shenzhen Stock Exchange</w:t>
            </w:r>
          </w:p>
        </w:tc>
      </w:tr>
      <w:tr w:rsidR="00BA4227" w:rsidRPr="006A53B7">
        <w:trPr>
          <w:cantSplit/>
        </w:trPr>
        <w:tc>
          <w:tcPr>
            <w:tcW w:w="2896" w:type="dxa"/>
            <w:tcBorders>
              <w:top w:val="single" w:sz="4" w:space="0" w:color="auto"/>
              <w:left w:val="single" w:sz="4" w:space="0" w:color="auto"/>
              <w:bottom w:val="single" w:sz="4" w:space="0" w:color="auto"/>
              <w:right w:val="single" w:sz="4" w:space="0" w:color="auto"/>
            </w:tcBorders>
            <w:shd w:val="clear" w:color="auto" w:fill="D3D3D3"/>
            <w:vAlign w:val="center"/>
          </w:tcPr>
          <w:p w:rsidR="004A5226" w:rsidRPr="006A53B7" w:rsidRDefault="00BA4227" w:rsidP="00FB3910">
            <w:pPr>
              <w:rPr>
                <w:b/>
                <w:bCs/>
                <w:sz w:val="24"/>
                <w:szCs w:val="24"/>
              </w:rPr>
            </w:pPr>
            <w:r w:rsidRPr="006A53B7">
              <w:rPr>
                <w:sz w:val="24"/>
                <w:szCs w:val="24"/>
              </w:rPr>
              <w:t>Contact</w:t>
            </w:r>
            <w:r w:rsidR="00FB3910">
              <w:rPr>
                <w:sz w:val="24"/>
                <w:szCs w:val="24"/>
              </w:rPr>
              <w:t>s</w:t>
            </w:r>
          </w:p>
        </w:tc>
        <w:tc>
          <w:tcPr>
            <w:tcW w:w="333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rPr>
                <w:sz w:val="24"/>
                <w:szCs w:val="24"/>
              </w:rPr>
            </w:pPr>
            <w:r w:rsidRPr="006A53B7">
              <w:rPr>
                <w:sz w:val="24"/>
                <w:szCs w:val="24"/>
              </w:rPr>
              <w:t>Secretary</w:t>
            </w:r>
            <w:r w:rsidR="00FB3910">
              <w:rPr>
                <w:sz w:val="24"/>
                <w:szCs w:val="24"/>
              </w:rPr>
              <w:t xml:space="preserve"> of the Board</w:t>
            </w:r>
          </w:p>
        </w:tc>
        <w:tc>
          <w:tcPr>
            <w:tcW w:w="334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rPr>
                <w:sz w:val="24"/>
                <w:szCs w:val="24"/>
              </w:rPr>
            </w:pPr>
            <w:r w:rsidRPr="006A53B7">
              <w:rPr>
                <w:sz w:val="24"/>
                <w:szCs w:val="24"/>
              </w:rPr>
              <w:t>Representative</w:t>
            </w:r>
            <w:r w:rsidR="00FB3910">
              <w:rPr>
                <w:sz w:val="24"/>
                <w:szCs w:val="24"/>
              </w:rPr>
              <w:t xml:space="preserve"> for Securities Affairs</w:t>
            </w:r>
          </w:p>
        </w:tc>
      </w:tr>
      <w:tr w:rsidR="00BA4227" w:rsidRPr="006A53B7">
        <w:trPr>
          <w:cantSplit/>
        </w:trPr>
        <w:tc>
          <w:tcPr>
            <w:tcW w:w="2896"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rPr>
                <w:sz w:val="24"/>
                <w:szCs w:val="24"/>
              </w:rPr>
            </w:pPr>
            <w:r w:rsidRPr="006A53B7">
              <w:rPr>
                <w:sz w:val="24"/>
                <w:szCs w:val="24"/>
              </w:rPr>
              <w:t>Name</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rPr>
                <w:sz w:val="24"/>
                <w:szCs w:val="24"/>
              </w:rPr>
            </w:pPr>
            <w:r w:rsidRPr="006A53B7">
              <w:rPr>
                <w:sz w:val="24"/>
                <w:szCs w:val="24"/>
              </w:rPr>
              <w:t>Lu Ming</w:t>
            </w:r>
          </w:p>
        </w:tc>
        <w:tc>
          <w:tcPr>
            <w:tcW w:w="3341" w:type="dxa"/>
            <w:gridSpan w:val="2"/>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rPr>
                <w:sz w:val="24"/>
                <w:szCs w:val="24"/>
              </w:rPr>
            </w:pPr>
            <w:r w:rsidRPr="006A53B7">
              <w:rPr>
                <w:sz w:val="24"/>
                <w:szCs w:val="24"/>
              </w:rPr>
              <w:t xml:space="preserve">Lai </w:t>
            </w:r>
            <w:proofErr w:type="spellStart"/>
            <w:r w:rsidRPr="006A53B7">
              <w:rPr>
                <w:sz w:val="24"/>
                <w:szCs w:val="24"/>
              </w:rPr>
              <w:t>Xunlong</w:t>
            </w:r>
            <w:proofErr w:type="spellEnd"/>
          </w:p>
        </w:tc>
      </w:tr>
      <w:tr w:rsidR="00BA4227" w:rsidRPr="006A53B7">
        <w:trPr>
          <w:cantSplit/>
        </w:trPr>
        <w:tc>
          <w:tcPr>
            <w:tcW w:w="2896"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rPr>
                <w:sz w:val="24"/>
                <w:szCs w:val="24"/>
              </w:rPr>
            </w:pPr>
            <w:r w:rsidRPr="006A53B7">
              <w:rPr>
                <w:sz w:val="24"/>
                <w:szCs w:val="24"/>
              </w:rPr>
              <w:t>Address</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rPr>
                <w:sz w:val="24"/>
                <w:szCs w:val="24"/>
              </w:rPr>
            </w:pPr>
            <w:r w:rsidRPr="006A53B7">
              <w:rPr>
                <w:sz w:val="24"/>
                <w:szCs w:val="24"/>
              </w:rPr>
              <w:t xml:space="preserve">81 West </w:t>
            </w:r>
            <w:proofErr w:type="spellStart"/>
            <w:r w:rsidRPr="006A53B7">
              <w:rPr>
                <w:sz w:val="24"/>
                <w:szCs w:val="24"/>
              </w:rPr>
              <w:t>Jinling</w:t>
            </w:r>
            <w:proofErr w:type="spellEnd"/>
            <w:r w:rsidRPr="006A53B7">
              <w:rPr>
                <w:sz w:val="24"/>
                <w:szCs w:val="24"/>
              </w:rPr>
              <w:t xml:space="preserve"> Road, Economic and Technological Development Zone, </w:t>
            </w:r>
            <w:proofErr w:type="spellStart"/>
            <w:r w:rsidRPr="006A53B7">
              <w:rPr>
                <w:sz w:val="24"/>
                <w:szCs w:val="24"/>
              </w:rPr>
              <w:t>Ganzhou</w:t>
            </w:r>
            <w:proofErr w:type="spellEnd"/>
            <w:r w:rsidRPr="006A53B7">
              <w:rPr>
                <w:sz w:val="24"/>
                <w:szCs w:val="24"/>
              </w:rPr>
              <w:t xml:space="preserve"> City, Jiangxi Province, P.R. China</w:t>
            </w:r>
          </w:p>
        </w:tc>
        <w:tc>
          <w:tcPr>
            <w:tcW w:w="3341" w:type="dxa"/>
            <w:gridSpan w:val="2"/>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rPr>
                <w:sz w:val="24"/>
                <w:szCs w:val="24"/>
              </w:rPr>
            </w:pPr>
            <w:r w:rsidRPr="006A53B7">
              <w:rPr>
                <w:sz w:val="24"/>
                <w:szCs w:val="24"/>
              </w:rPr>
              <w:t xml:space="preserve">81 West </w:t>
            </w:r>
            <w:proofErr w:type="spellStart"/>
            <w:r w:rsidRPr="006A53B7">
              <w:rPr>
                <w:sz w:val="24"/>
                <w:szCs w:val="24"/>
              </w:rPr>
              <w:t>Jinling</w:t>
            </w:r>
            <w:proofErr w:type="spellEnd"/>
            <w:r w:rsidRPr="006A53B7">
              <w:rPr>
                <w:sz w:val="24"/>
                <w:szCs w:val="24"/>
              </w:rPr>
              <w:t xml:space="preserve"> Road, Economic and Technological Development Zone, </w:t>
            </w:r>
            <w:proofErr w:type="spellStart"/>
            <w:r w:rsidRPr="006A53B7">
              <w:rPr>
                <w:sz w:val="24"/>
                <w:szCs w:val="24"/>
              </w:rPr>
              <w:t>Ganzhou</w:t>
            </w:r>
            <w:proofErr w:type="spellEnd"/>
            <w:r w:rsidRPr="006A53B7">
              <w:rPr>
                <w:sz w:val="24"/>
                <w:szCs w:val="24"/>
              </w:rPr>
              <w:t xml:space="preserve"> City, Jiangxi Province, P.R. China</w:t>
            </w:r>
          </w:p>
        </w:tc>
      </w:tr>
      <w:tr w:rsidR="00BA4227" w:rsidRPr="006A53B7">
        <w:trPr>
          <w:cantSplit/>
        </w:trPr>
        <w:tc>
          <w:tcPr>
            <w:tcW w:w="2896"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rPr>
                <w:sz w:val="24"/>
                <w:szCs w:val="24"/>
              </w:rPr>
            </w:pPr>
            <w:r w:rsidRPr="006A53B7">
              <w:rPr>
                <w:sz w:val="24"/>
                <w:szCs w:val="24"/>
              </w:rPr>
              <w:t>Fax</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BA4227" w:rsidRPr="006A53B7" w:rsidRDefault="00BA4227" w:rsidP="00FE7110">
            <w:pPr>
              <w:jc w:val="left"/>
              <w:rPr>
                <w:sz w:val="24"/>
                <w:szCs w:val="24"/>
              </w:rPr>
            </w:pPr>
            <w:r w:rsidRPr="006A53B7">
              <w:rPr>
                <w:sz w:val="24"/>
                <w:szCs w:val="24"/>
              </w:rPr>
              <w:t>0797-806</w:t>
            </w:r>
            <w:r w:rsidR="003E0032" w:rsidRPr="006A53B7">
              <w:rPr>
                <w:sz w:val="24"/>
                <w:szCs w:val="24"/>
              </w:rPr>
              <w:t>-</w:t>
            </w:r>
            <w:r w:rsidRPr="006A53B7">
              <w:rPr>
                <w:sz w:val="24"/>
                <w:szCs w:val="24"/>
              </w:rPr>
              <w:t>8000</w:t>
            </w:r>
          </w:p>
        </w:tc>
        <w:tc>
          <w:tcPr>
            <w:tcW w:w="3341" w:type="dxa"/>
            <w:gridSpan w:val="2"/>
            <w:tcBorders>
              <w:top w:val="single" w:sz="4" w:space="0" w:color="auto"/>
              <w:left w:val="single" w:sz="4" w:space="0" w:color="auto"/>
              <w:bottom w:val="single" w:sz="4" w:space="0" w:color="auto"/>
              <w:right w:val="single" w:sz="4" w:space="0" w:color="auto"/>
            </w:tcBorders>
            <w:vAlign w:val="center"/>
          </w:tcPr>
          <w:p w:rsidR="00BA4227" w:rsidRPr="006A53B7" w:rsidRDefault="00BA4227" w:rsidP="00FE7110">
            <w:pPr>
              <w:jc w:val="left"/>
              <w:rPr>
                <w:sz w:val="24"/>
                <w:szCs w:val="24"/>
              </w:rPr>
            </w:pPr>
            <w:r w:rsidRPr="006A53B7">
              <w:rPr>
                <w:sz w:val="24"/>
                <w:szCs w:val="24"/>
              </w:rPr>
              <w:t>0797-806</w:t>
            </w:r>
            <w:r w:rsidR="003E0032" w:rsidRPr="006A53B7">
              <w:rPr>
                <w:sz w:val="24"/>
                <w:szCs w:val="24"/>
              </w:rPr>
              <w:t>-</w:t>
            </w:r>
            <w:r w:rsidRPr="006A53B7">
              <w:rPr>
                <w:sz w:val="24"/>
                <w:szCs w:val="24"/>
              </w:rPr>
              <w:t>8000</w:t>
            </w:r>
          </w:p>
        </w:tc>
      </w:tr>
      <w:tr w:rsidR="00BA4227" w:rsidRPr="006A53B7">
        <w:trPr>
          <w:cantSplit/>
        </w:trPr>
        <w:tc>
          <w:tcPr>
            <w:tcW w:w="2896"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rPr>
                <w:sz w:val="24"/>
                <w:szCs w:val="24"/>
              </w:rPr>
            </w:pPr>
            <w:r w:rsidRPr="006A53B7">
              <w:rPr>
                <w:sz w:val="24"/>
                <w:szCs w:val="24"/>
              </w:rPr>
              <w:t>Telephone</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BA4227" w:rsidRPr="006A53B7" w:rsidRDefault="00BA4227" w:rsidP="00FE7110">
            <w:pPr>
              <w:jc w:val="left"/>
              <w:rPr>
                <w:sz w:val="24"/>
                <w:szCs w:val="24"/>
              </w:rPr>
            </w:pPr>
            <w:r w:rsidRPr="006A53B7">
              <w:rPr>
                <w:sz w:val="24"/>
                <w:szCs w:val="24"/>
              </w:rPr>
              <w:t>0797-806</w:t>
            </w:r>
            <w:r w:rsidR="003E0032" w:rsidRPr="006A53B7">
              <w:rPr>
                <w:sz w:val="24"/>
                <w:szCs w:val="24"/>
              </w:rPr>
              <w:t>-</w:t>
            </w:r>
            <w:r w:rsidRPr="006A53B7">
              <w:rPr>
                <w:sz w:val="24"/>
                <w:szCs w:val="24"/>
              </w:rPr>
              <w:t>8059</w:t>
            </w:r>
          </w:p>
        </w:tc>
        <w:tc>
          <w:tcPr>
            <w:tcW w:w="3341" w:type="dxa"/>
            <w:gridSpan w:val="2"/>
            <w:tcBorders>
              <w:top w:val="single" w:sz="4" w:space="0" w:color="auto"/>
              <w:left w:val="single" w:sz="4" w:space="0" w:color="auto"/>
              <w:bottom w:val="single" w:sz="4" w:space="0" w:color="auto"/>
              <w:right w:val="single" w:sz="4" w:space="0" w:color="auto"/>
            </w:tcBorders>
            <w:vAlign w:val="center"/>
          </w:tcPr>
          <w:p w:rsidR="00BA4227" w:rsidRPr="006A53B7" w:rsidRDefault="00BA4227" w:rsidP="00FE7110">
            <w:pPr>
              <w:jc w:val="left"/>
              <w:rPr>
                <w:sz w:val="24"/>
                <w:szCs w:val="24"/>
              </w:rPr>
            </w:pPr>
            <w:r w:rsidRPr="006A53B7">
              <w:rPr>
                <w:sz w:val="24"/>
                <w:szCs w:val="24"/>
              </w:rPr>
              <w:t>0797-806</w:t>
            </w:r>
            <w:r w:rsidR="003E0032" w:rsidRPr="006A53B7">
              <w:rPr>
                <w:sz w:val="24"/>
                <w:szCs w:val="24"/>
              </w:rPr>
              <w:t>-</w:t>
            </w:r>
            <w:r w:rsidRPr="006A53B7">
              <w:rPr>
                <w:sz w:val="24"/>
                <w:szCs w:val="24"/>
              </w:rPr>
              <w:t>8059</w:t>
            </w:r>
          </w:p>
        </w:tc>
      </w:tr>
      <w:tr w:rsidR="00BA4227" w:rsidRPr="006A53B7">
        <w:trPr>
          <w:cantSplit/>
        </w:trPr>
        <w:tc>
          <w:tcPr>
            <w:tcW w:w="2896"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rPr>
                <w:sz w:val="24"/>
                <w:szCs w:val="24"/>
              </w:rPr>
            </w:pPr>
            <w:r w:rsidRPr="006A53B7">
              <w:rPr>
                <w:sz w:val="24"/>
                <w:szCs w:val="24"/>
              </w:rPr>
              <w:t>Email</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rPr>
                <w:sz w:val="24"/>
                <w:szCs w:val="24"/>
              </w:rPr>
            </w:pPr>
            <w:r w:rsidRPr="006A53B7">
              <w:rPr>
                <w:sz w:val="24"/>
                <w:szCs w:val="24"/>
              </w:rPr>
              <w:t>jlmag_info@jlmag.com.cn</w:t>
            </w:r>
          </w:p>
        </w:tc>
        <w:tc>
          <w:tcPr>
            <w:tcW w:w="3341" w:type="dxa"/>
            <w:gridSpan w:val="2"/>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rPr>
                <w:sz w:val="24"/>
                <w:szCs w:val="24"/>
              </w:rPr>
            </w:pPr>
            <w:r w:rsidRPr="006A53B7">
              <w:rPr>
                <w:sz w:val="24"/>
                <w:szCs w:val="24"/>
              </w:rPr>
              <w:t>jlmag_info@jlmag.com.cn</w:t>
            </w:r>
          </w:p>
        </w:tc>
      </w:tr>
    </w:tbl>
    <w:p w:rsidR="00BA4227" w:rsidRPr="006A53B7" w:rsidRDefault="00BA4227" w:rsidP="00331CC2">
      <w:pPr>
        <w:pStyle w:val="Section"/>
        <w:outlineLvl w:val="2"/>
        <w:rPr>
          <w:sz w:val="24"/>
          <w:szCs w:val="24"/>
        </w:rPr>
      </w:pPr>
      <w:r w:rsidRPr="006A53B7">
        <w:rPr>
          <w:sz w:val="24"/>
          <w:szCs w:val="24"/>
        </w:rPr>
        <w:t xml:space="preserve">2. </w:t>
      </w:r>
      <w:r w:rsidR="00380D11">
        <w:rPr>
          <w:sz w:val="24"/>
          <w:szCs w:val="24"/>
        </w:rPr>
        <w:t>Business Scope in</w:t>
      </w:r>
      <w:r w:rsidRPr="006A53B7">
        <w:rPr>
          <w:sz w:val="24"/>
          <w:szCs w:val="24"/>
        </w:rPr>
        <w:t xml:space="preserve"> the reporting period</w:t>
      </w:r>
    </w:p>
    <w:p w:rsidR="00BA4227" w:rsidRPr="006A53B7" w:rsidRDefault="00FE1322" w:rsidP="00331CC2">
      <w:pPr>
        <w:autoSpaceDE w:val="0"/>
        <w:autoSpaceDN w:val="0"/>
        <w:adjustRightInd w:val="0"/>
        <w:spacing w:before="0" w:after="0" w:line="360" w:lineRule="auto"/>
        <w:rPr>
          <w:b/>
          <w:bCs/>
          <w:sz w:val="24"/>
          <w:szCs w:val="24"/>
        </w:rPr>
      </w:pPr>
      <w:r>
        <w:rPr>
          <w:rFonts w:hint="eastAsia"/>
          <w:b/>
          <w:sz w:val="24"/>
          <w:szCs w:val="24"/>
          <w:lang w:eastAsia="zh-CN"/>
        </w:rPr>
        <w:t xml:space="preserve">(I) </w:t>
      </w:r>
      <w:r w:rsidR="00380D11">
        <w:rPr>
          <w:b/>
          <w:sz w:val="24"/>
          <w:szCs w:val="24"/>
        </w:rPr>
        <w:t>Summary of business scope</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The Company is a high-tech </w:t>
      </w:r>
      <w:r w:rsidR="00D87268" w:rsidRPr="006A53B7">
        <w:rPr>
          <w:sz w:val="24"/>
          <w:szCs w:val="24"/>
        </w:rPr>
        <w:t xml:space="preserve">enterprise </w:t>
      </w:r>
      <w:r w:rsidRPr="006A53B7">
        <w:rPr>
          <w:sz w:val="24"/>
          <w:szCs w:val="24"/>
        </w:rPr>
        <w:t xml:space="preserve">engaged in research </w:t>
      </w:r>
      <w:r w:rsidR="00D87268" w:rsidRPr="006A53B7">
        <w:rPr>
          <w:sz w:val="24"/>
          <w:szCs w:val="24"/>
        </w:rPr>
        <w:t>and</w:t>
      </w:r>
      <w:r w:rsidRPr="006A53B7">
        <w:rPr>
          <w:sz w:val="24"/>
          <w:szCs w:val="24"/>
        </w:rPr>
        <w:t xml:space="preserve"> development, production and sales of </w:t>
      </w:r>
      <w:proofErr w:type="spellStart"/>
      <w:r w:rsidRPr="006A53B7">
        <w:rPr>
          <w:sz w:val="24"/>
          <w:szCs w:val="24"/>
        </w:rPr>
        <w:t>NdFeB</w:t>
      </w:r>
      <w:proofErr w:type="spellEnd"/>
      <w:r w:rsidRPr="006A53B7">
        <w:rPr>
          <w:sz w:val="24"/>
          <w:szCs w:val="24"/>
        </w:rPr>
        <w:t xml:space="preserve"> permanent magnet materials. It is a leading supplier of core materials used in new energy and energy conservation </w:t>
      </w:r>
      <w:r w:rsidR="00D87268" w:rsidRPr="006A53B7">
        <w:rPr>
          <w:sz w:val="24"/>
          <w:szCs w:val="24"/>
        </w:rPr>
        <w:t xml:space="preserve">and </w:t>
      </w:r>
      <w:r w:rsidRPr="006A53B7">
        <w:rPr>
          <w:sz w:val="24"/>
          <w:szCs w:val="24"/>
        </w:rPr>
        <w:t xml:space="preserve">environmental protection sectors </w:t>
      </w:r>
      <w:r w:rsidR="00D87268" w:rsidRPr="006A53B7">
        <w:rPr>
          <w:sz w:val="24"/>
          <w:szCs w:val="24"/>
        </w:rPr>
        <w:t xml:space="preserve">in </w:t>
      </w:r>
      <w:r w:rsidRPr="006A53B7">
        <w:rPr>
          <w:sz w:val="24"/>
          <w:szCs w:val="24"/>
        </w:rPr>
        <w:t xml:space="preserve">China. The products are widely used in wind power, new energy vehicles and auto parts, inverter air conditioners, energy efficient elevators, robotics and intelligent manufacturing, as well as the 3C industry (computers, communications and consumer electronics). The Company has </w:t>
      </w:r>
      <w:r w:rsidR="003E0032" w:rsidRPr="006A53B7">
        <w:rPr>
          <w:sz w:val="24"/>
          <w:szCs w:val="24"/>
        </w:rPr>
        <w:t xml:space="preserve">formed </w:t>
      </w:r>
      <w:r w:rsidRPr="006A53B7">
        <w:rPr>
          <w:sz w:val="24"/>
          <w:szCs w:val="24"/>
        </w:rPr>
        <w:t xml:space="preserve">long-term stable partnerships with top-tier Chinese and foreign </w:t>
      </w:r>
      <w:r w:rsidR="00005F70" w:rsidRPr="006A53B7">
        <w:rPr>
          <w:sz w:val="24"/>
          <w:szCs w:val="24"/>
        </w:rPr>
        <w:t xml:space="preserve">enterprises </w:t>
      </w:r>
      <w:r w:rsidRPr="006A53B7">
        <w:rPr>
          <w:sz w:val="24"/>
          <w:szCs w:val="24"/>
        </w:rPr>
        <w:t xml:space="preserve">in various industries. The Company has started preparation for entering the 3C industry during the reporting period. And it is now actively </w:t>
      </w:r>
      <w:r w:rsidR="00E244B0">
        <w:rPr>
          <w:sz w:val="24"/>
          <w:szCs w:val="24"/>
        </w:rPr>
        <w:t>exploiting</w:t>
      </w:r>
      <w:r w:rsidR="00E244B0" w:rsidRPr="006A53B7">
        <w:rPr>
          <w:sz w:val="24"/>
          <w:szCs w:val="24"/>
        </w:rPr>
        <w:t xml:space="preserve"> </w:t>
      </w:r>
      <w:r w:rsidRPr="006A53B7">
        <w:rPr>
          <w:sz w:val="24"/>
          <w:szCs w:val="24"/>
        </w:rPr>
        <w:t>the 3C market.</w:t>
      </w:r>
    </w:p>
    <w:p w:rsidR="00BA4227" w:rsidRPr="006A53B7" w:rsidRDefault="00FE1322" w:rsidP="00331CC2">
      <w:pPr>
        <w:autoSpaceDE w:val="0"/>
        <w:autoSpaceDN w:val="0"/>
        <w:adjustRightInd w:val="0"/>
        <w:spacing w:before="0" w:after="0" w:line="360" w:lineRule="auto"/>
        <w:rPr>
          <w:b/>
          <w:sz w:val="24"/>
          <w:szCs w:val="24"/>
        </w:rPr>
      </w:pPr>
      <w:r>
        <w:rPr>
          <w:rFonts w:hint="eastAsia"/>
          <w:b/>
          <w:sz w:val="24"/>
          <w:szCs w:val="24"/>
          <w:lang w:eastAsia="zh-CN"/>
        </w:rPr>
        <w:t xml:space="preserve">(II) </w:t>
      </w:r>
      <w:r w:rsidR="00BA4227" w:rsidRPr="006A53B7">
        <w:rPr>
          <w:b/>
          <w:sz w:val="24"/>
          <w:szCs w:val="24"/>
        </w:rPr>
        <w:t>Business model</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The Company mainly adopts a </w:t>
      </w:r>
      <w:r w:rsidR="00E244B0">
        <w:rPr>
          <w:sz w:val="24"/>
          <w:szCs w:val="24"/>
        </w:rPr>
        <w:t>Producing according to S</w:t>
      </w:r>
      <w:r w:rsidR="00E244B0" w:rsidRPr="00E244B0">
        <w:rPr>
          <w:sz w:val="24"/>
          <w:szCs w:val="24"/>
        </w:rPr>
        <w:t xml:space="preserve">ales </w:t>
      </w:r>
      <w:r w:rsidRPr="006A53B7">
        <w:rPr>
          <w:sz w:val="24"/>
          <w:szCs w:val="24"/>
        </w:rPr>
        <w:t>model. It purchases rare earth and auxiliary metal materials in advance based on orders</w:t>
      </w:r>
      <w:r w:rsidR="00927CD1">
        <w:rPr>
          <w:sz w:val="24"/>
          <w:szCs w:val="24"/>
        </w:rPr>
        <w:t>,</w:t>
      </w:r>
      <w:r w:rsidRPr="006A53B7">
        <w:rPr>
          <w:sz w:val="24"/>
          <w:szCs w:val="24"/>
        </w:rPr>
        <w:t xml:space="preserve"> designs and produces </w:t>
      </w:r>
      <w:proofErr w:type="spellStart"/>
      <w:r w:rsidRPr="006A53B7">
        <w:rPr>
          <w:sz w:val="24"/>
          <w:szCs w:val="24"/>
        </w:rPr>
        <w:t>NdFeB</w:t>
      </w:r>
      <w:proofErr w:type="spellEnd"/>
      <w:r w:rsidRPr="006A53B7">
        <w:rPr>
          <w:sz w:val="24"/>
          <w:szCs w:val="24"/>
        </w:rPr>
        <w:t xml:space="preserve"> magnets. </w:t>
      </w:r>
      <w:r w:rsidR="00887C5A" w:rsidRPr="006A53B7">
        <w:rPr>
          <w:sz w:val="24"/>
          <w:szCs w:val="24"/>
        </w:rPr>
        <w:t>Currently</w:t>
      </w:r>
      <w:r w:rsidRPr="006A53B7">
        <w:rPr>
          <w:sz w:val="24"/>
          <w:szCs w:val="24"/>
        </w:rPr>
        <w:t xml:space="preserve">, the Company has </w:t>
      </w:r>
      <w:r w:rsidR="00887C5A" w:rsidRPr="006A53B7">
        <w:rPr>
          <w:sz w:val="24"/>
          <w:szCs w:val="24"/>
        </w:rPr>
        <w:t>the capability</w:t>
      </w:r>
      <w:r w:rsidRPr="006A53B7">
        <w:rPr>
          <w:sz w:val="24"/>
          <w:szCs w:val="24"/>
        </w:rPr>
        <w:t xml:space="preserve"> of manufacturing a whole series of products, covering product research and development, mold </w:t>
      </w:r>
      <w:r w:rsidR="00927CD1">
        <w:rPr>
          <w:sz w:val="24"/>
          <w:szCs w:val="24"/>
        </w:rPr>
        <w:t>development</w:t>
      </w:r>
      <w:r w:rsidR="00927CD1" w:rsidRPr="006A53B7">
        <w:rPr>
          <w:sz w:val="24"/>
          <w:szCs w:val="24"/>
        </w:rPr>
        <w:t xml:space="preserve"> </w:t>
      </w:r>
      <w:r w:rsidRPr="006A53B7">
        <w:rPr>
          <w:sz w:val="24"/>
          <w:szCs w:val="24"/>
        </w:rPr>
        <w:t xml:space="preserve">and </w:t>
      </w:r>
      <w:r w:rsidR="00887C5A" w:rsidRPr="006A53B7">
        <w:rPr>
          <w:sz w:val="24"/>
          <w:szCs w:val="24"/>
        </w:rPr>
        <w:t>manufacturing</w:t>
      </w:r>
      <w:r w:rsidRPr="006A53B7">
        <w:rPr>
          <w:sz w:val="24"/>
          <w:szCs w:val="24"/>
        </w:rPr>
        <w:t xml:space="preserve">, billet production and finished product processing, </w:t>
      </w:r>
      <w:r w:rsidR="00927CD1">
        <w:rPr>
          <w:sz w:val="24"/>
          <w:szCs w:val="24"/>
        </w:rPr>
        <w:t>while</w:t>
      </w:r>
      <w:r w:rsidRPr="006A53B7">
        <w:rPr>
          <w:sz w:val="24"/>
          <w:szCs w:val="24"/>
        </w:rPr>
        <w:t xml:space="preserve"> </w:t>
      </w:r>
      <w:r w:rsidR="00927CD1" w:rsidRPr="006A53B7">
        <w:rPr>
          <w:sz w:val="24"/>
          <w:szCs w:val="24"/>
        </w:rPr>
        <w:t>exercis</w:t>
      </w:r>
      <w:r w:rsidR="00927CD1">
        <w:rPr>
          <w:sz w:val="24"/>
          <w:szCs w:val="24"/>
        </w:rPr>
        <w:t>ing</w:t>
      </w:r>
      <w:r w:rsidR="00927CD1" w:rsidRPr="006A53B7">
        <w:rPr>
          <w:sz w:val="24"/>
          <w:szCs w:val="24"/>
        </w:rPr>
        <w:t xml:space="preserve"> </w:t>
      </w:r>
      <w:r w:rsidR="00927CD1">
        <w:rPr>
          <w:sz w:val="24"/>
          <w:szCs w:val="24"/>
        </w:rPr>
        <w:t>overall</w:t>
      </w:r>
      <w:r w:rsidRPr="006A53B7">
        <w:rPr>
          <w:sz w:val="24"/>
          <w:szCs w:val="24"/>
        </w:rPr>
        <w:t xml:space="preserve"> control and management of each process.</w:t>
      </w:r>
    </w:p>
    <w:p w:rsidR="00BA4227" w:rsidRPr="006A53B7" w:rsidRDefault="00FE1322" w:rsidP="00331CC2">
      <w:pPr>
        <w:autoSpaceDE w:val="0"/>
        <w:autoSpaceDN w:val="0"/>
        <w:adjustRightInd w:val="0"/>
        <w:spacing w:before="0" w:after="0" w:line="360" w:lineRule="auto"/>
        <w:rPr>
          <w:b/>
          <w:sz w:val="24"/>
          <w:szCs w:val="24"/>
        </w:rPr>
      </w:pPr>
      <w:r>
        <w:rPr>
          <w:rFonts w:hint="eastAsia"/>
          <w:b/>
          <w:sz w:val="24"/>
          <w:szCs w:val="24"/>
          <w:lang w:eastAsia="zh-CN"/>
        </w:rPr>
        <w:t>(III)</w:t>
      </w:r>
      <w:r w:rsidR="00BA4227" w:rsidRPr="006A53B7">
        <w:rPr>
          <w:b/>
          <w:sz w:val="24"/>
          <w:szCs w:val="24"/>
        </w:rPr>
        <w:t xml:space="preserve"> </w:t>
      </w:r>
      <w:r w:rsidR="00380D11">
        <w:rPr>
          <w:b/>
          <w:sz w:val="24"/>
          <w:szCs w:val="24"/>
        </w:rPr>
        <w:t xml:space="preserve">Position </w:t>
      </w:r>
      <w:r w:rsidR="00BA4227" w:rsidRPr="006A53B7">
        <w:rPr>
          <w:b/>
          <w:sz w:val="24"/>
          <w:szCs w:val="24"/>
        </w:rPr>
        <w:t>in the industry</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The Company is a world-leading supplier of magnets used in wind power and a top-grade supplier of magnets for new energy vehicle and inverter air conditioner in China</w:t>
      </w:r>
      <w:r w:rsidR="00F31F3C">
        <w:rPr>
          <w:sz w:val="24"/>
          <w:szCs w:val="24"/>
        </w:rPr>
        <w:t xml:space="preserve">, maintaining stronger </w:t>
      </w:r>
      <w:r w:rsidR="00F31F3C">
        <w:rPr>
          <w:sz w:val="24"/>
          <w:szCs w:val="24"/>
        </w:rPr>
        <w:lastRenderedPageBreak/>
        <w:t>competitiveness.</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The Company is a </w:t>
      </w:r>
      <w:r w:rsidR="00887C5A" w:rsidRPr="006A53B7">
        <w:rPr>
          <w:sz w:val="24"/>
          <w:szCs w:val="24"/>
        </w:rPr>
        <w:t xml:space="preserve">global </w:t>
      </w:r>
      <w:r w:rsidRPr="006A53B7">
        <w:rPr>
          <w:sz w:val="24"/>
          <w:szCs w:val="24"/>
        </w:rPr>
        <w:t xml:space="preserve">first-class supplier of magnets for wind power. </w:t>
      </w:r>
      <w:r w:rsidR="00142555">
        <w:rPr>
          <w:sz w:val="24"/>
          <w:szCs w:val="24"/>
        </w:rPr>
        <w:t>End-users</w:t>
      </w:r>
      <w:r w:rsidRPr="006A53B7">
        <w:rPr>
          <w:sz w:val="24"/>
          <w:szCs w:val="24"/>
        </w:rPr>
        <w:t xml:space="preserve"> in wind power sector </w:t>
      </w:r>
      <w:r w:rsidR="00142555">
        <w:rPr>
          <w:sz w:val="24"/>
          <w:szCs w:val="24"/>
        </w:rPr>
        <w:t xml:space="preserve">are </w:t>
      </w:r>
      <w:r w:rsidRPr="006A53B7">
        <w:rPr>
          <w:sz w:val="24"/>
          <w:szCs w:val="24"/>
        </w:rPr>
        <w:t xml:space="preserve">mainly </w:t>
      </w:r>
      <w:proofErr w:type="spellStart"/>
      <w:r w:rsidRPr="006A53B7">
        <w:rPr>
          <w:sz w:val="24"/>
          <w:szCs w:val="24"/>
        </w:rPr>
        <w:t>Goldwind</w:t>
      </w:r>
      <w:proofErr w:type="spellEnd"/>
      <w:r w:rsidRPr="006A53B7">
        <w:rPr>
          <w:sz w:val="24"/>
          <w:szCs w:val="24"/>
        </w:rPr>
        <w:t xml:space="preserve"> and Siemens </w:t>
      </w:r>
      <w:proofErr w:type="spellStart"/>
      <w:r w:rsidRPr="006A53B7">
        <w:rPr>
          <w:sz w:val="24"/>
          <w:szCs w:val="24"/>
        </w:rPr>
        <w:t>Gamesa</w:t>
      </w:r>
      <w:proofErr w:type="spellEnd"/>
      <w:r w:rsidRPr="006A53B7">
        <w:rPr>
          <w:sz w:val="24"/>
          <w:szCs w:val="24"/>
        </w:rPr>
        <w:t xml:space="preserve">. </w:t>
      </w:r>
      <w:proofErr w:type="spellStart"/>
      <w:r w:rsidRPr="006A53B7">
        <w:rPr>
          <w:sz w:val="24"/>
          <w:szCs w:val="24"/>
        </w:rPr>
        <w:t>Goldwind</w:t>
      </w:r>
      <w:proofErr w:type="spellEnd"/>
      <w:r w:rsidRPr="006A53B7">
        <w:rPr>
          <w:sz w:val="24"/>
          <w:szCs w:val="24"/>
        </w:rPr>
        <w:t xml:space="preserve"> is the largest manufacturer of permanent magnet </w:t>
      </w:r>
      <w:r w:rsidR="00142555" w:rsidRPr="006A53B7">
        <w:rPr>
          <w:sz w:val="24"/>
          <w:szCs w:val="24"/>
        </w:rPr>
        <w:t xml:space="preserve">direct-drive </w:t>
      </w:r>
      <w:r w:rsidRPr="006A53B7">
        <w:rPr>
          <w:sz w:val="24"/>
          <w:szCs w:val="24"/>
        </w:rPr>
        <w:t>generators wind turbines in China</w:t>
      </w:r>
      <w:r w:rsidR="00142555">
        <w:rPr>
          <w:sz w:val="24"/>
          <w:szCs w:val="24"/>
        </w:rPr>
        <w:t>,</w:t>
      </w:r>
      <w:r w:rsidRPr="006A53B7">
        <w:rPr>
          <w:sz w:val="24"/>
          <w:szCs w:val="24"/>
        </w:rPr>
        <w:t xml:space="preserve"> </w:t>
      </w:r>
      <w:r w:rsidR="00142555">
        <w:rPr>
          <w:sz w:val="24"/>
          <w:szCs w:val="24"/>
        </w:rPr>
        <w:t>holding</w:t>
      </w:r>
      <w:r w:rsidRPr="006A53B7">
        <w:rPr>
          <w:sz w:val="24"/>
          <w:szCs w:val="24"/>
        </w:rPr>
        <w:t xml:space="preserve"> all core technologies. According to </w:t>
      </w:r>
      <w:proofErr w:type="spellStart"/>
      <w:r w:rsidRPr="006A53B7">
        <w:rPr>
          <w:sz w:val="24"/>
          <w:szCs w:val="24"/>
        </w:rPr>
        <w:t>BloombergNEF</w:t>
      </w:r>
      <w:r w:rsidR="0023423F" w:rsidRPr="006A53B7">
        <w:rPr>
          <w:sz w:val="24"/>
          <w:szCs w:val="24"/>
        </w:rPr>
        <w:t>’</w:t>
      </w:r>
      <w:r w:rsidRPr="006A53B7">
        <w:rPr>
          <w:sz w:val="24"/>
          <w:szCs w:val="24"/>
        </w:rPr>
        <w:t>s</w:t>
      </w:r>
      <w:proofErr w:type="spellEnd"/>
      <w:r w:rsidRPr="006A53B7">
        <w:rPr>
          <w:sz w:val="24"/>
          <w:szCs w:val="24"/>
        </w:rPr>
        <w:t xml:space="preserve"> 2019 ranking of Chinese wind turbine manufacturers by new installations, China</w:t>
      </w:r>
      <w:r w:rsidR="003B589B">
        <w:rPr>
          <w:sz w:val="24"/>
          <w:szCs w:val="24"/>
        </w:rPr>
        <w:t xml:space="preserve"> newly</w:t>
      </w:r>
      <w:r w:rsidRPr="006A53B7">
        <w:rPr>
          <w:sz w:val="24"/>
          <w:szCs w:val="24"/>
        </w:rPr>
        <w:t xml:space="preserve"> installed 28.9 </w:t>
      </w:r>
      <w:r w:rsidR="00091B2D">
        <w:rPr>
          <w:rFonts w:ascii="Arial" w:hAnsi="Arial" w:cs="Arial"/>
          <w:color w:val="333333"/>
          <w:sz w:val="21"/>
          <w:szCs w:val="21"/>
          <w:shd w:val="clear" w:color="auto" w:fill="FFFFFF"/>
        </w:rPr>
        <w:t>GW</w:t>
      </w:r>
      <w:r w:rsidR="003B589B">
        <w:rPr>
          <w:rFonts w:ascii="Arial" w:hAnsi="Arial" w:cs="Arial"/>
          <w:color w:val="333333"/>
          <w:sz w:val="21"/>
          <w:szCs w:val="21"/>
          <w:shd w:val="clear" w:color="auto" w:fill="FFFFFF"/>
        </w:rPr>
        <w:t xml:space="preserve"> </w:t>
      </w:r>
      <w:r w:rsidRPr="006A53B7">
        <w:rPr>
          <w:sz w:val="24"/>
          <w:szCs w:val="24"/>
        </w:rPr>
        <w:t xml:space="preserve">in the year, representing a 37% increase </w:t>
      </w:r>
      <w:r w:rsidR="003B589B">
        <w:rPr>
          <w:sz w:val="24"/>
          <w:szCs w:val="24"/>
        </w:rPr>
        <w:t>than the last year</w:t>
      </w:r>
      <w:r w:rsidR="005D40A9">
        <w:rPr>
          <w:sz w:val="24"/>
          <w:szCs w:val="24"/>
        </w:rPr>
        <w:t>, including 26.2GW onshore wind turbine(increasing by 36%) and 2.7GW offshore wind turbine(increasing by 57%)</w:t>
      </w:r>
      <w:r w:rsidRPr="006A53B7">
        <w:rPr>
          <w:sz w:val="24"/>
          <w:szCs w:val="24"/>
        </w:rPr>
        <w:t xml:space="preserve"> </w:t>
      </w:r>
      <w:r w:rsidR="005D40A9">
        <w:rPr>
          <w:sz w:val="24"/>
          <w:szCs w:val="24"/>
        </w:rPr>
        <w:t xml:space="preserve">. </w:t>
      </w:r>
      <w:r w:rsidRPr="006A53B7">
        <w:rPr>
          <w:sz w:val="24"/>
          <w:szCs w:val="24"/>
        </w:rPr>
        <w:t xml:space="preserve">With new installations of 8.01 GW, </w:t>
      </w:r>
      <w:proofErr w:type="spellStart"/>
      <w:r w:rsidRPr="006A53B7">
        <w:rPr>
          <w:sz w:val="24"/>
          <w:szCs w:val="24"/>
        </w:rPr>
        <w:t>Goldwind</w:t>
      </w:r>
      <w:proofErr w:type="spellEnd"/>
      <w:r w:rsidRPr="006A53B7">
        <w:rPr>
          <w:sz w:val="24"/>
          <w:szCs w:val="24"/>
        </w:rPr>
        <w:t xml:space="preserve"> retained its title as the largest manufacturer in China.</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The Company is a leading supplier </w:t>
      </w:r>
      <w:r w:rsidR="005E1446">
        <w:rPr>
          <w:sz w:val="24"/>
          <w:szCs w:val="24"/>
        </w:rPr>
        <w:t>in</w:t>
      </w:r>
      <w:r w:rsidR="005E1446" w:rsidRPr="006A53B7">
        <w:rPr>
          <w:sz w:val="24"/>
          <w:szCs w:val="24"/>
        </w:rPr>
        <w:t xml:space="preserve"> </w:t>
      </w:r>
      <w:r w:rsidRPr="006A53B7">
        <w:rPr>
          <w:sz w:val="24"/>
          <w:szCs w:val="24"/>
        </w:rPr>
        <w:t xml:space="preserve">inverter air conditioner and new energy vehicle manufacturing sectors in China. It supplies magnets to famous inverter air conditioner brands such as </w:t>
      </w:r>
      <w:proofErr w:type="spellStart"/>
      <w:r w:rsidRPr="006A53B7">
        <w:rPr>
          <w:sz w:val="24"/>
          <w:szCs w:val="24"/>
        </w:rPr>
        <w:t>Midea</w:t>
      </w:r>
      <w:proofErr w:type="spellEnd"/>
      <w:r w:rsidRPr="006A53B7">
        <w:rPr>
          <w:sz w:val="24"/>
          <w:szCs w:val="24"/>
        </w:rPr>
        <w:t xml:space="preserve">, Mitsubishi, </w:t>
      </w:r>
      <w:proofErr w:type="spellStart"/>
      <w:r w:rsidRPr="006A53B7">
        <w:rPr>
          <w:sz w:val="24"/>
          <w:szCs w:val="24"/>
        </w:rPr>
        <w:t>Gree</w:t>
      </w:r>
      <w:proofErr w:type="spellEnd"/>
      <w:r w:rsidRPr="006A53B7">
        <w:rPr>
          <w:sz w:val="24"/>
          <w:szCs w:val="24"/>
        </w:rPr>
        <w:t xml:space="preserve"> and Shanghai </w:t>
      </w:r>
      <w:proofErr w:type="spellStart"/>
      <w:r w:rsidRPr="006A53B7">
        <w:rPr>
          <w:sz w:val="24"/>
          <w:szCs w:val="24"/>
        </w:rPr>
        <w:t>Hailite</w:t>
      </w:r>
      <w:proofErr w:type="spellEnd"/>
      <w:r w:rsidR="005E1446">
        <w:rPr>
          <w:sz w:val="24"/>
          <w:szCs w:val="24"/>
        </w:rPr>
        <w:t>,</w:t>
      </w:r>
      <w:r w:rsidRPr="006A53B7">
        <w:rPr>
          <w:sz w:val="24"/>
          <w:szCs w:val="24"/>
        </w:rPr>
        <w:t xml:space="preserve"> </w:t>
      </w:r>
      <w:r w:rsidR="005E1446">
        <w:rPr>
          <w:sz w:val="24"/>
          <w:szCs w:val="24"/>
        </w:rPr>
        <w:t xml:space="preserve">and </w:t>
      </w:r>
      <w:r w:rsidRPr="006A53B7">
        <w:rPr>
          <w:sz w:val="24"/>
          <w:szCs w:val="24"/>
        </w:rPr>
        <w:t>supplies magnets to BYD and United Automotive Electronic Systems Co., Ltd., etc. for producing  new energy vehicles</w:t>
      </w:r>
      <w:r w:rsidR="005E1446" w:rsidRPr="005E1446">
        <w:rPr>
          <w:sz w:val="24"/>
          <w:szCs w:val="24"/>
        </w:rPr>
        <w:t xml:space="preserve"> </w:t>
      </w:r>
      <w:r w:rsidR="005E1446" w:rsidRPr="006A53B7">
        <w:rPr>
          <w:sz w:val="24"/>
          <w:szCs w:val="24"/>
        </w:rPr>
        <w:t>drive motors</w:t>
      </w:r>
      <w:r w:rsidRPr="006A53B7">
        <w:rPr>
          <w:sz w:val="24"/>
          <w:szCs w:val="24"/>
        </w:rPr>
        <w:t xml:space="preserve">, and it has </w:t>
      </w:r>
      <w:r w:rsidR="005E1446">
        <w:rPr>
          <w:sz w:val="24"/>
          <w:szCs w:val="24"/>
        </w:rPr>
        <w:t xml:space="preserve">also </w:t>
      </w:r>
      <w:r w:rsidRPr="006A53B7">
        <w:rPr>
          <w:sz w:val="24"/>
          <w:szCs w:val="24"/>
        </w:rPr>
        <w:t xml:space="preserve">been the auto </w:t>
      </w:r>
      <w:proofErr w:type="spellStart"/>
      <w:r w:rsidRPr="006A53B7">
        <w:rPr>
          <w:sz w:val="24"/>
          <w:szCs w:val="24"/>
        </w:rPr>
        <w:t>partmagnet</w:t>
      </w:r>
      <w:proofErr w:type="spellEnd"/>
      <w:r w:rsidRPr="006A53B7">
        <w:rPr>
          <w:sz w:val="24"/>
          <w:szCs w:val="24"/>
        </w:rPr>
        <w:t xml:space="preserve"> supplier </w:t>
      </w:r>
      <w:r w:rsidR="005E1446">
        <w:rPr>
          <w:sz w:val="24"/>
          <w:szCs w:val="24"/>
        </w:rPr>
        <w:t>of</w:t>
      </w:r>
      <w:r w:rsidR="005E1446" w:rsidRPr="006A53B7">
        <w:rPr>
          <w:sz w:val="24"/>
          <w:szCs w:val="24"/>
        </w:rPr>
        <w:t xml:space="preserve"> </w:t>
      </w:r>
      <w:r w:rsidRPr="006A53B7">
        <w:rPr>
          <w:sz w:val="24"/>
          <w:szCs w:val="24"/>
        </w:rPr>
        <w:t>Bosch Group for years.</w:t>
      </w:r>
    </w:p>
    <w:p w:rsidR="00BA4227" w:rsidRPr="006A53B7" w:rsidRDefault="00B70518" w:rsidP="00331CC2">
      <w:pPr>
        <w:autoSpaceDE w:val="0"/>
        <w:autoSpaceDN w:val="0"/>
        <w:adjustRightInd w:val="0"/>
        <w:spacing w:before="0" w:after="0" w:line="360" w:lineRule="auto"/>
        <w:rPr>
          <w:rFonts w:eastAsia="Times New Roman"/>
          <w:sz w:val="24"/>
          <w:szCs w:val="24"/>
        </w:rPr>
      </w:pPr>
      <w:r>
        <w:rPr>
          <w:sz w:val="24"/>
          <w:szCs w:val="24"/>
        </w:rPr>
        <w:t>In addition, t</w:t>
      </w:r>
      <w:r w:rsidR="00BA4227" w:rsidRPr="006A53B7">
        <w:rPr>
          <w:sz w:val="24"/>
          <w:szCs w:val="24"/>
        </w:rPr>
        <w:t xml:space="preserve">he Company actively </w:t>
      </w:r>
      <w:r w:rsidR="00CA1688" w:rsidRPr="006A53B7">
        <w:rPr>
          <w:sz w:val="24"/>
          <w:szCs w:val="24"/>
        </w:rPr>
        <w:t xml:space="preserve">participates in </w:t>
      </w:r>
      <w:r w:rsidR="00BA4227" w:rsidRPr="006A53B7">
        <w:rPr>
          <w:sz w:val="24"/>
          <w:szCs w:val="24"/>
        </w:rPr>
        <w:t xml:space="preserve">new energy and environmental protection sectors such as energy efficient elevators, robotics and intelligent manufacturing, 3C, and has become an important </w:t>
      </w:r>
      <w:proofErr w:type="spellStart"/>
      <w:r w:rsidR="00BA4227" w:rsidRPr="006A53B7">
        <w:rPr>
          <w:sz w:val="24"/>
          <w:szCs w:val="24"/>
        </w:rPr>
        <w:t>NdFeB</w:t>
      </w:r>
      <w:proofErr w:type="spellEnd"/>
      <w:r w:rsidR="00BA4227" w:rsidRPr="006A53B7">
        <w:rPr>
          <w:sz w:val="24"/>
          <w:szCs w:val="24"/>
        </w:rPr>
        <w:t xml:space="preserve"> magnet supplier in these sectors, </w:t>
      </w:r>
      <w:r w:rsidR="00523175">
        <w:rPr>
          <w:sz w:val="24"/>
          <w:szCs w:val="24"/>
        </w:rPr>
        <w:t>possessing</w:t>
      </w:r>
      <w:r w:rsidR="00523175" w:rsidRPr="006A53B7">
        <w:rPr>
          <w:sz w:val="24"/>
          <w:szCs w:val="24"/>
        </w:rPr>
        <w:t xml:space="preserve"> </w:t>
      </w:r>
      <w:r w:rsidR="00BA4227" w:rsidRPr="006A53B7">
        <w:rPr>
          <w:sz w:val="24"/>
          <w:szCs w:val="24"/>
        </w:rPr>
        <w:t>strong market competitiveness.</w:t>
      </w:r>
    </w:p>
    <w:p w:rsidR="00BA4227" w:rsidRPr="006A53B7" w:rsidRDefault="00BA4227" w:rsidP="00331CC2">
      <w:pPr>
        <w:pStyle w:val="Section"/>
        <w:outlineLvl w:val="2"/>
        <w:rPr>
          <w:bCs w:val="0"/>
          <w:sz w:val="24"/>
          <w:szCs w:val="24"/>
        </w:rPr>
      </w:pPr>
      <w:r w:rsidRPr="006A53B7">
        <w:rPr>
          <w:sz w:val="24"/>
          <w:szCs w:val="24"/>
        </w:rPr>
        <w:t xml:space="preserve">3. </w:t>
      </w:r>
      <w:r w:rsidR="00851B55">
        <w:rPr>
          <w:sz w:val="24"/>
          <w:szCs w:val="24"/>
        </w:rPr>
        <w:t>Key</w:t>
      </w:r>
      <w:r w:rsidR="00851B55" w:rsidRPr="006A53B7">
        <w:rPr>
          <w:sz w:val="24"/>
          <w:szCs w:val="24"/>
        </w:rPr>
        <w:t xml:space="preserve"> </w:t>
      </w:r>
      <w:r w:rsidRPr="006A53B7">
        <w:rPr>
          <w:sz w:val="24"/>
          <w:szCs w:val="24"/>
        </w:rPr>
        <w:t xml:space="preserve">accounting data and financial indicators </w:t>
      </w:r>
    </w:p>
    <w:p w:rsidR="00BA4227" w:rsidRPr="006A53B7" w:rsidRDefault="00D320BF" w:rsidP="00331CC2">
      <w:pPr>
        <w:pStyle w:val="Section"/>
        <w:outlineLvl w:val="3"/>
        <w:rPr>
          <w:bCs w:val="0"/>
          <w:sz w:val="24"/>
          <w:szCs w:val="24"/>
        </w:rPr>
      </w:pPr>
      <w:r>
        <w:rPr>
          <w:rFonts w:hint="eastAsia"/>
          <w:sz w:val="24"/>
          <w:szCs w:val="24"/>
          <w:lang w:eastAsia="zh-CN"/>
        </w:rPr>
        <w:t>(1)</w:t>
      </w:r>
      <w:r w:rsidR="00BA4227" w:rsidRPr="006A53B7">
        <w:rPr>
          <w:sz w:val="24"/>
          <w:szCs w:val="24"/>
        </w:rPr>
        <w:t xml:space="preserve"> </w:t>
      </w:r>
      <w:r w:rsidR="00851B55">
        <w:rPr>
          <w:sz w:val="24"/>
          <w:szCs w:val="24"/>
        </w:rPr>
        <w:t>Key</w:t>
      </w:r>
      <w:r w:rsidR="00851B55" w:rsidRPr="006A53B7">
        <w:rPr>
          <w:sz w:val="24"/>
          <w:szCs w:val="24"/>
        </w:rPr>
        <w:t xml:space="preserve"> </w:t>
      </w:r>
      <w:r w:rsidR="00BA4227" w:rsidRPr="006A53B7">
        <w:rPr>
          <w:sz w:val="24"/>
          <w:szCs w:val="24"/>
        </w:rPr>
        <w:t>accounting data and financial indicators for the past three years</w:t>
      </w:r>
    </w:p>
    <w:p w:rsidR="00BA4227" w:rsidRPr="006A53B7" w:rsidRDefault="00BA4227" w:rsidP="00331CC2">
      <w:pPr>
        <w:rPr>
          <w:sz w:val="24"/>
          <w:szCs w:val="24"/>
        </w:rPr>
      </w:pPr>
      <w:r w:rsidRPr="006A53B7">
        <w:rPr>
          <w:sz w:val="24"/>
          <w:szCs w:val="24"/>
        </w:rPr>
        <w:t xml:space="preserve">Whether the Company </w:t>
      </w:r>
      <w:r w:rsidR="00851B55">
        <w:rPr>
          <w:sz w:val="24"/>
          <w:szCs w:val="24"/>
        </w:rPr>
        <w:t>performed</w:t>
      </w:r>
      <w:r w:rsidRPr="006A53B7">
        <w:rPr>
          <w:sz w:val="24"/>
          <w:szCs w:val="24"/>
        </w:rPr>
        <w:t xml:space="preserve"> </w:t>
      </w:r>
      <w:r w:rsidR="00851B55">
        <w:rPr>
          <w:sz w:val="24"/>
          <w:szCs w:val="24"/>
        </w:rPr>
        <w:t xml:space="preserve">a </w:t>
      </w:r>
      <w:r w:rsidRPr="006A53B7">
        <w:rPr>
          <w:sz w:val="24"/>
          <w:szCs w:val="24"/>
        </w:rPr>
        <w:t>retroactive adjustments to or restate</w:t>
      </w:r>
      <w:r w:rsidR="00851B55">
        <w:rPr>
          <w:sz w:val="24"/>
          <w:szCs w:val="24"/>
        </w:rPr>
        <w:t>ment of</w:t>
      </w:r>
      <w:r w:rsidRPr="006A53B7">
        <w:rPr>
          <w:sz w:val="24"/>
          <w:szCs w:val="24"/>
        </w:rPr>
        <w:t xml:space="preserve"> accounting data for prior years</w:t>
      </w:r>
    </w:p>
    <w:p w:rsidR="00BA4227" w:rsidRPr="006A53B7" w:rsidRDefault="00BA4227" w:rsidP="00331CC2">
      <w:pPr>
        <w:spacing w:before="0" w:after="0" w:line="360" w:lineRule="auto"/>
        <w:rPr>
          <w:sz w:val="24"/>
          <w:szCs w:val="24"/>
        </w:rPr>
      </w:pPr>
      <w:r w:rsidRPr="006A53B7">
        <w:rPr>
          <w:sz w:val="24"/>
          <w:szCs w:val="24"/>
          <w:cs/>
        </w:rPr>
        <w:t xml:space="preserve">□ </w:t>
      </w:r>
      <w:r w:rsidRPr="006A53B7">
        <w:rPr>
          <w:sz w:val="24"/>
          <w:szCs w:val="24"/>
        </w:rPr>
        <w:t xml:space="preserve">Yes     </w:t>
      </w:r>
      <w:r w:rsidRPr="006A53B7">
        <w:rPr>
          <w:sz w:val="24"/>
          <w:szCs w:val="24"/>
          <w:cs/>
        </w:rPr>
        <w:t xml:space="preserve">√ </w:t>
      </w:r>
      <w:r w:rsidRPr="006A53B7">
        <w:rPr>
          <w:sz w:val="24"/>
          <w:szCs w:val="24"/>
        </w:rPr>
        <w:t xml:space="preserve">No </w:t>
      </w:r>
    </w:p>
    <w:p w:rsidR="00BA4227" w:rsidRPr="006A53B7" w:rsidRDefault="00BA4227" w:rsidP="00331CC2">
      <w:pPr>
        <w:jc w:val="right"/>
        <w:rPr>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621"/>
        <w:gridCol w:w="1738"/>
        <w:gridCol w:w="1737"/>
        <w:gridCol w:w="1559"/>
        <w:gridCol w:w="1914"/>
      </w:tblGrid>
      <w:tr w:rsidR="00BA4227" w:rsidRPr="006A53B7" w:rsidTr="006A53B7">
        <w:trPr>
          <w:cantSplit/>
        </w:trPr>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p>
        </w:tc>
        <w:tc>
          <w:tcPr>
            <w:tcW w:w="1738"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2019</w:t>
            </w:r>
          </w:p>
        </w:tc>
        <w:tc>
          <w:tcPr>
            <w:tcW w:w="1737"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2018</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 xml:space="preserve">Increase/decrease </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2017</w:t>
            </w:r>
          </w:p>
        </w:tc>
      </w:tr>
      <w:tr w:rsidR="00BA4227" w:rsidRPr="006A53B7" w:rsidTr="006A53B7">
        <w:trPr>
          <w:cantSplit/>
        </w:trPr>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pPr>
            <w:r w:rsidRPr="006A53B7">
              <w:t>Operating income</w:t>
            </w:r>
            <w:r w:rsidR="002D7DE2">
              <w:t>(RMB’000)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1,696,838,476.01</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1,289,339,875.43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31.61%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912,427,221.16</w:t>
            </w:r>
          </w:p>
        </w:tc>
      </w:tr>
      <w:tr w:rsidR="00BA4227" w:rsidRPr="006A53B7" w:rsidTr="006A53B7">
        <w:trPr>
          <w:cantSplit/>
        </w:trPr>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97376D">
            <w:pPr>
              <w:jc w:val="left"/>
            </w:pPr>
            <w:r w:rsidRPr="006A53B7">
              <w:t xml:space="preserve">Net profit attributable to </w:t>
            </w:r>
            <w:r w:rsidR="0097376D">
              <w:t>share</w:t>
            </w:r>
            <w:r w:rsidRPr="006A53B7">
              <w:t>holders of the company</w:t>
            </w:r>
            <w:r w:rsidR="002D7DE2">
              <w:t>(RMB’000)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156,880,220.48</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147,195,841.72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6.58%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139,363,333.73</w:t>
            </w:r>
          </w:p>
        </w:tc>
      </w:tr>
      <w:tr w:rsidR="00BA4227" w:rsidRPr="006A53B7" w:rsidTr="006A53B7">
        <w:trPr>
          <w:cantSplit/>
        </w:trPr>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97376D">
            <w:pPr>
              <w:jc w:val="left"/>
            </w:pPr>
            <w:r w:rsidRPr="006A53B7">
              <w:t xml:space="preserve">Net profit attributable to </w:t>
            </w:r>
            <w:r w:rsidR="0097376D">
              <w:t>share</w:t>
            </w:r>
            <w:r w:rsidRPr="006A53B7">
              <w:t>holders of the company</w:t>
            </w:r>
            <w:r w:rsidR="0097376D">
              <w:t xml:space="preserve"> before non-recurring gains and losses</w:t>
            </w:r>
            <w:r w:rsidR="002D7DE2">
              <w:t>(RMB’000)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146,838,409.80</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105,795,891.33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38.79%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96,970,360.17</w:t>
            </w:r>
          </w:p>
        </w:tc>
      </w:tr>
      <w:tr w:rsidR="00BA4227" w:rsidRPr="006A53B7" w:rsidTr="006A53B7">
        <w:trPr>
          <w:cantSplit/>
        </w:trPr>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pPr>
            <w:r w:rsidRPr="006A53B7">
              <w:t>Net cash flows from operating activities</w:t>
            </w:r>
            <w:r w:rsidR="002D7DE2">
              <w:t>(RMB’000)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42,838,401.92</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58,093,008.47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-26.26%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100,233,656.82</w:t>
            </w:r>
          </w:p>
        </w:tc>
      </w:tr>
      <w:tr w:rsidR="00BA4227" w:rsidRPr="006A53B7" w:rsidTr="006A53B7">
        <w:trPr>
          <w:cantSplit/>
        </w:trPr>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pPr>
            <w:r w:rsidRPr="006A53B7">
              <w:t>Basic earnings per share (RMB</w:t>
            </w:r>
            <w:r w:rsidR="002D7DE2">
              <w:t>/share</w:t>
            </w:r>
            <w:r w:rsidRPr="006A53B7">
              <w:t>)</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0.38</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0.39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-2.56%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0.37</w:t>
            </w:r>
          </w:p>
        </w:tc>
      </w:tr>
      <w:tr w:rsidR="00BA4227" w:rsidRPr="006A53B7" w:rsidTr="006A53B7">
        <w:trPr>
          <w:cantSplit/>
        </w:trPr>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pPr>
            <w:r w:rsidRPr="006A53B7">
              <w:t>Diluted earnings per share (RMB</w:t>
            </w:r>
            <w:r w:rsidR="002D7DE2">
              <w:t>/share</w:t>
            </w:r>
            <w:r w:rsidRPr="006A53B7">
              <w:t>)</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0.38</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0.39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-2.56%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0.37</w:t>
            </w:r>
          </w:p>
        </w:tc>
      </w:tr>
      <w:tr w:rsidR="00BA4227" w:rsidRPr="006A53B7" w:rsidTr="006A53B7">
        <w:trPr>
          <w:cantSplit/>
        </w:trPr>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97376D">
            <w:pPr>
              <w:jc w:val="left"/>
            </w:pPr>
            <w:r w:rsidRPr="006A53B7">
              <w:t xml:space="preserve">Weighted average </w:t>
            </w:r>
            <w:proofErr w:type="gramStart"/>
            <w:r w:rsidR="0097376D">
              <w:t>ROE</w:t>
            </w:r>
            <w:r w:rsidR="00EE48FF">
              <w:t>(</w:t>
            </w:r>
            <w:proofErr w:type="gramEnd"/>
            <w:r w:rsidR="00EE48FF">
              <w:t>%)</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13.41%</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16.20%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-2.79%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18.40%</w:t>
            </w:r>
          </w:p>
        </w:tc>
      </w:tr>
      <w:tr w:rsidR="00BA4227" w:rsidRPr="006A53B7" w:rsidTr="006A53B7">
        <w:trPr>
          <w:cantSplit/>
        </w:trPr>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pPr>
          </w:p>
        </w:tc>
        <w:tc>
          <w:tcPr>
            <w:tcW w:w="1738"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At the end of 2019</w:t>
            </w:r>
          </w:p>
        </w:tc>
        <w:tc>
          <w:tcPr>
            <w:tcW w:w="1737"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At the end of 2018</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 xml:space="preserve">Increase/decrease  </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At the end of 2017</w:t>
            </w:r>
          </w:p>
        </w:tc>
      </w:tr>
      <w:tr w:rsidR="00BA4227" w:rsidRPr="006A53B7" w:rsidTr="006A53B7">
        <w:trPr>
          <w:cantSplit/>
        </w:trPr>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pPr>
            <w:r w:rsidRPr="006A53B7">
              <w:lastRenderedPageBreak/>
              <w:t>Total assets</w:t>
            </w:r>
            <w:r w:rsidR="002D7DE2">
              <w:t>(RMB’000)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2,826,237,122.05</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2,070,299,722.99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36.51%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1,440,936,150.39</w:t>
            </w:r>
          </w:p>
        </w:tc>
      </w:tr>
      <w:tr w:rsidR="00BA4227" w:rsidRPr="006A53B7" w:rsidTr="006A53B7">
        <w:trPr>
          <w:cantSplit/>
        </w:trPr>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97376D">
            <w:pPr>
              <w:jc w:val="left"/>
            </w:pPr>
            <w:r w:rsidRPr="006A53B7">
              <w:t xml:space="preserve">Net assets attributable to </w:t>
            </w:r>
            <w:r w:rsidR="0097376D">
              <w:t>share</w:t>
            </w:r>
            <w:r w:rsidRPr="006A53B7">
              <w:t>holders of the company</w:t>
            </w:r>
            <w:r w:rsidR="002D7DE2">
              <w:t>(RMB’000)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1,330,352,853.02</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1,111,491,991.61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19.69%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819,038,204.06</w:t>
            </w:r>
          </w:p>
        </w:tc>
      </w:tr>
    </w:tbl>
    <w:p w:rsidR="00BA4227" w:rsidRPr="006A53B7" w:rsidRDefault="00D320BF" w:rsidP="00331CC2">
      <w:pPr>
        <w:pStyle w:val="Section"/>
        <w:outlineLvl w:val="3"/>
        <w:rPr>
          <w:bCs w:val="0"/>
          <w:sz w:val="24"/>
          <w:szCs w:val="24"/>
        </w:rPr>
      </w:pPr>
      <w:r>
        <w:rPr>
          <w:rFonts w:hint="eastAsia"/>
          <w:sz w:val="24"/>
          <w:szCs w:val="24"/>
          <w:lang w:eastAsia="zh-CN"/>
        </w:rPr>
        <w:t>(2)</w:t>
      </w:r>
      <w:r w:rsidR="00BA4227" w:rsidRPr="006A53B7">
        <w:rPr>
          <w:sz w:val="24"/>
          <w:szCs w:val="24"/>
        </w:rPr>
        <w:t xml:space="preserve"> </w:t>
      </w:r>
      <w:r w:rsidR="002D7DE2">
        <w:rPr>
          <w:sz w:val="24"/>
          <w:szCs w:val="24"/>
        </w:rPr>
        <w:t>Key</w:t>
      </w:r>
      <w:r w:rsidR="002D7DE2" w:rsidRPr="006A53B7">
        <w:rPr>
          <w:sz w:val="24"/>
          <w:szCs w:val="24"/>
        </w:rPr>
        <w:t xml:space="preserve"> </w:t>
      </w:r>
      <w:r w:rsidR="00BA4227" w:rsidRPr="006A53B7">
        <w:rPr>
          <w:sz w:val="24"/>
          <w:szCs w:val="24"/>
        </w:rPr>
        <w:t>accounting data</w:t>
      </w:r>
      <w:r w:rsidR="002D7DE2">
        <w:rPr>
          <w:sz w:val="24"/>
          <w:szCs w:val="24"/>
        </w:rPr>
        <w:t xml:space="preserve"> by Quarter</w:t>
      </w:r>
    </w:p>
    <w:p w:rsidR="00BA4227" w:rsidRPr="001D10AE" w:rsidRDefault="00BA4227" w:rsidP="00331CC2">
      <w:pPr>
        <w:jc w:val="right"/>
      </w:pPr>
      <w:r w:rsidRPr="001D10AE">
        <w:t>RMB</w:t>
      </w:r>
      <w:r w:rsidR="00655789">
        <w:t>’000</w:t>
      </w:r>
    </w:p>
    <w:tbl>
      <w:tblPr>
        <w:tblW w:w="0" w:type="auto"/>
        <w:tblInd w:w="28" w:type="dxa"/>
        <w:tblLayout w:type="fixed"/>
        <w:tblCellMar>
          <w:left w:w="28" w:type="dxa"/>
          <w:right w:w="28" w:type="dxa"/>
        </w:tblCellMar>
        <w:tblLook w:val="0000" w:firstRow="0" w:lastRow="0" w:firstColumn="0" w:lastColumn="0" w:noHBand="0" w:noVBand="0"/>
      </w:tblPr>
      <w:tblGrid>
        <w:gridCol w:w="2710"/>
        <w:gridCol w:w="1715"/>
        <w:gridCol w:w="1715"/>
        <w:gridCol w:w="1715"/>
        <w:gridCol w:w="1713"/>
      </w:tblGrid>
      <w:tr w:rsidR="00BA4227" w:rsidRPr="006A53B7">
        <w:trPr>
          <w:cantSplit/>
        </w:trPr>
        <w:tc>
          <w:tcPr>
            <w:tcW w:w="2710"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p>
        </w:tc>
        <w:tc>
          <w:tcPr>
            <w:tcW w:w="1715"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655789" w:rsidP="00331CC2">
            <w:pPr>
              <w:jc w:val="center"/>
            </w:pPr>
            <w:r>
              <w:t>2019</w:t>
            </w:r>
            <w:r w:rsidR="00BA4227" w:rsidRPr="006A53B7">
              <w:t>Q1</w:t>
            </w:r>
          </w:p>
        </w:tc>
        <w:tc>
          <w:tcPr>
            <w:tcW w:w="1715"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655789" w:rsidP="00331CC2">
            <w:pPr>
              <w:jc w:val="center"/>
            </w:pPr>
            <w:r>
              <w:t>2019</w:t>
            </w:r>
            <w:r w:rsidR="00BA4227" w:rsidRPr="006A53B7">
              <w:t>Q2</w:t>
            </w:r>
          </w:p>
        </w:tc>
        <w:tc>
          <w:tcPr>
            <w:tcW w:w="1715"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655789" w:rsidP="00331CC2">
            <w:pPr>
              <w:jc w:val="center"/>
            </w:pPr>
            <w:r>
              <w:t>2019</w:t>
            </w:r>
            <w:r w:rsidR="00BA4227" w:rsidRPr="006A53B7">
              <w:t>Q3</w:t>
            </w:r>
          </w:p>
        </w:tc>
        <w:tc>
          <w:tcPr>
            <w:tcW w:w="1713"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655789" w:rsidP="00331CC2">
            <w:pPr>
              <w:jc w:val="center"/>
            </w:pPr>
            <w:r>
              <w:t>2019</w:t>
            </w:r>
            <w:r w:rsidR="00BA4227" w:rsidRPr="006A53B7">
              <w:t>Q4</w:t>
            </w:r>
          </w:p>
        </w:tc>
      </w:tr>
      <w:tr w:rsidR="00BA4227" w:rsidRPr="006A53B7">
        <w:trPr>
          <w:cantSplit/>
        </w:trPr>
        <w:tc>
          <w:tcPr>
            <w:tcW w:w="2710"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pPr>
            <w:r w:rsidRPr="006A53B7">
              <w:t>Operating income</w:t>
            </w:r>
          </w:p>
        </w:tc>
        <w:tc>
          <w:tcPr>
            <w:tcW w:w="171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358,860,291.95</w:t>
            </w:r>
          </w:p>
        </w:tc>
        <w:tc>
          <w:tcPr>
            <w:tcW w:w="171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421,402,917.19</w:t>
            </w:r>
          </w:p>
        </w:tc>
        <w:tc>
          <w:tcPr>
            <w:tcW w:w="171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389,275,314.71</w:t>
            </w:r>
          </w:p>
        </w:tc>
        <w:tc>
          <w:tcPr>
            <w:tcW w:w="1713"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527,299,952.16</w:t>
            </w:r>
          </w:p>
        </w:tc>
      </w:tr>
      <w:tr w:rsidR="00BA4227" w:rsidRPr="006A53B7">
        <w:trPr>
          <w:cantSplit/>
        </w:trPr>
        <w:tc>
          <w:tcPr>
            <w:tcW w:w="2710"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655789">
            <w:pPr>
              <w:jc w:val="left"/>
            </w:pPr>
            <w:r w:rsidRPr="006A53B7">
              <w:t xml:space="preserve">Net profit attributable to </w:t>
            </w:r>
            <w:r w:rsidR="00655789">
              <w:t>share</w:t>
            </w:r>
            <w:r w:rsidRPr="006A53B7">
              <w:t>holders of the company</w:t>
            </w:r>
          </w:p>
        </w:tc>
        <w:tc>
          <w:tcPr>
            <w:tcW w:w="171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26,359,146.61</w:t>
            </w:r>
          </w:p>
        </w:tc>
        <w:tc>
          <w:tcPr>
            <w:tcW w:w="171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32,543,495.98</w:t>
            </w:r>
          </w:p>
        </w:tc>
        <w:tc>
          <w:tcPr>
            <w:tcW w:w="171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47,562,573.59</w:t>
            </w:r>
          </w:p>
        </w:tc>
        <w:tc>
          <w:tcPr>
            <w:tcW w:w="1713"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50,415,004.30</w:t>
            </w:r>
          </w:p>
        </w:tc>
      </w:tr>
      <w:tr w:rsidR="00BA4227" w:rsidRPr="006A53B7">
        <w:trPr>
          <w:cantSplit/>
        </w:trPr>
        <w:tc>
          <w:tcPr>
            <w:tcW w:w="2710"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655789">
            <w:pPr>
              <w:jc w:val="left"/>
            </w:pPr>
            <w:r w:rsidRPr="006A53B7">
              <w:t xml:space="preserve">Net profit attributable to </w:t>
            </w:r>
            <w:r w:rsidR="00655789">
              <w:t>share</w:t>
            </w:r>
            <w:r w:rsidRPr="006A53B7">
              <w:t xml:space="preserve">holders of the company </w:t>
            </w:r>
            <w:r w:rsidR="00655789">
              <w:t xml:space="preserve"> before non-recurring gains and losses</w:t>
            </w:r>
          </w:p>
        </w:tc>
        <w:tc>
          <w:tcPr>
            <w:tcW w:w="171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22,498,545.54</w:t>
            </w:r>
          </w:p>
        </w:tc>
        <w:tc>
          <w:tcPr>
            <w:tcW w:w="171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31,470,800.13</w:t>
            </w:r>
          </w:p>
        </w:tc>
        <w:tc>
          <w:tcPr>
            <w:tcW w:w="171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46,344,845.62</w:t>
            </w:r>
          </w:p>
        </w:tc>
        <w:tc>
          <w:tcPr>
            <w:tcW w:w="1713"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46,524,218.51</w:t>
            </w:r>
          </w:p>
        </w:tc>
      </w:tr>
      <w:tr w:rsidR="00BA4227" w:rsidRPr="006A53B7">
        <w:trPr>
          <w:cantSplit/>
        </w:trPr>
        <w:tc>
          <w:tcPr>
            <w:tcW w:w="2710"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pPr>
            <w:r w:rsidRPr="006A53B7">
              <w:t>Net cash flows from operating activities</w:t>
            </w:r>
          </w:p>
        </w:tc>
        <w:tc>
          <w:tcPr>
            <w:tcW w:w="171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-148,888,159.38</w:t>
            </w:r>
          </w:p>
        </w:tc>
        <w:tc>
          <w:tcPr>
            <w:tcW w:w="171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162,048,528.60</w:t>
            </w:r>
          </w:p>
        </w:tc>
        <w:tc>
          <w:tcPr>
            <w:tcW w:w="1715"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-12,680,677.36</w:t>
            </w:r>
          </w:p>
        </w:tc>
        <w:tc>
          <w:tcPr>
            <w:tcW w:w="1713"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42,358,710.06</w:t>
            </w:r>
          </w:p>
        </w:tc>
      </w:tr>
    </w:tbl>
    <w:p w:rsidR="00BA4227" w:rsidRPr="006A53B7" w:rsidRDefault="00BA4227" w:rsidP="00331CC2">
      <w:pPr>
        <w:rPr>
          <w:sz w:val="24"/>
          <w:szCs w:val="24"/>
        </w:rPr>
      </w:pPr>
      <w:r w:rsidRPr="006A53B7">
        <w:rPr>
          <w:sz w:val="24"/>
          <w:szCs w:val="24"/>
        </w:rPr>
        <w:t xml:space="preserve">Whether there are </w:t>
      </w:r>
      <w:r w:rsidR="0095458A">
        <w:rPr>
          <w:sz w:val="24"/>
          <w:szCs w:val="24"/>
        </w:rPr>
        <w:t>any material</w:t>
      </w:r>
      <w:r w:rsidR="0095458A" w:rsidRPr="006A53B7">
        <w:rPr>
          <w:sz w:val="24"/>
          <w:szCs w:val="24"/>
        </w:rPr>
        <w:t xml:space="preserve"> </w:t>
      </w:r>
      <w:r w:rsidRPr="006A53B7">
        <w:rPr>
          <w:sz w:val="24"/>
          <w:szCs w:val="24"/>
        </w:rPr>
        <w:t xml:space="preserve">differences between the financial indicators </w:t>
      </w:r>
      <w:r w:rsidR="0095458A" w:rsidRPr="006A53B7">
        <w:rPr>
          <w:sz w:val="24"/>
          <w:szCs w:val="24"/>
        </w:rPr>
        <w:t xml:space="preserve">above </w:t>
      </w:r>
      <w:r w:rsidRPr="006A53B7">
        <w:rPr>
          <w:sz w:val="24"/>
          <w:szCs w:val="24"/>
        </w:rPr>
        <w:t xml:space="preserve">or their </w:t>
      </w:r>
      <w:r w:rsidR="0095458A">
        <w:rPr>
          <w:sz w:val="24"/>
          <w:szCs w:val="24"/>
        </w:rPr>
        <w:t>summations</w:t>
      </w:r>
      <w:r w:rsidR="0095458A" w:rsidRPr="006A53B7">
        <w:rPr>
          <w:sz w:val="24"/>
          <w:szCs w:val="24"/>
        </w:rPr>
        <w:t xml:space="preserve"> </w:t>
      </w:r>
      <w:proofErr w:type="gramStart"/>
      <w:r w:rsidRPr="006A53B7">
        <w:rPr>
          <w:sz w:val="24"/>
          <w:szCs w:val="24"/>
        </w:rPr>
        <w:t xml:space="preserve">and </w:t>
      </w:r>
      <w:r w:rsidR="0095458A">
        <w:rPr>
          <w:sz w:val="24"/>
          <w:szCs w:val="24"/>
        </w:rPr>
        <w:t xml:space="preserve"> those</w:t>
      </w:r>
      <w:proofErr w:type="gramEnd"/>
      <w:r w:rsidR="0095458A">
        <w:rPr>
          <w:sz w:val="24"/>
          <w:szCs w:val="24"/>
        </w:rPr>
        <w:t xml:space="preserve"> which have been disclosed in the Company’s quarterly of semi-annual reports </w:t>
      </w:r>
    </w:p>
    <w:p w:rsidR="00BA4227" w:rsidRPr="006A53B7" w:rsidRDefault="00BA4227" w:rsidP="00331CC2">
      <w:pPr>
        <w:spacing w:before="0" w:after="0" w:line="360" w:lineRule="auto"/>
        <w:rPr>
          <w:sz w:val="24"/>
          <w:szCs w:val="24"/>
        </w:rPr>
      </w:pPr>
      <w:r w:rsidRPr="006A53B7">
        <w:rPr>
          <w:sz w:val="24"/>
          <w:szCs w:val="24"/>
          <w:cs/>
        </w:rPr>
        <w:t xml:space="preserve">□ </w:t>
      </w:r>
      <w:r w:rsidRPr="006A53B7">
        <w:rPr>
          <w:sz w:val="24"/>
          <w:szCs w:val="24"/>
        </w:rPr>
        <w:t xml:space="preserve">Yes     </w:t>
      </w:r>
      <w:r w:rsidRPr="006A53B7">
        <w:rPr>
          <w:sz w:val="24"/>
          <w:szCs w:val="24"/>
          <w:cs/>
        </w:rPr>
        <w:t xml:space="preserve">√ </w:t>
      </w:r>
      <w:r w:rsidRPr="006A53B7">
        <w:rPr>
          <w:sz w:val="24"/>
          <w:szCs w:val="24"/>
        </w:rPr>
        <w:t xml:space="preserve">No </w:t>
      </w:r>
    </w:p>
    <w:p w:rsidR="00BA4227" w:rsidRPr="006A53B7" w:rsidRDefault="00BA4227" w:rsidP="00331CC2">
      <w:pPr>
        <w:pStyle w:val="Section"/>
        <w:outlineLvl w:val="2"/>
        <w:rPr>
          <w:bCs w:val="0"/>
          <w:sz w:val="24"/>
          <w:szCs w:val="24"/>
        </w:rPr>
      </w:pPr>
      <w:r w:rsidRPr="006A53B7">
        <w:rPr>
          <w:sz w:val="24"/>
          <w:szCs w:val="24"/>
        </w:rPr>
        <w:t>4. Share</w:t>
      </w:r>
      <w:r w:rsidR="00380D11">
        <w:rPr>
          <w:sz w:val="24"/>
          <w:szCs w:val="24"/>
        </w:rPr>
        <w:t>s</w:t>
      </w:r>
      <w:r w:rsidRPr="006A53B7">
        <w:rPr>
          <w:sz w:val="24"/>
          <w:szCs w:val="24"/>
        </w:rPr>
        <w:t xml:space="preserve"> and shareholders</w:t>
      </w:r>
    </w:p>
    <w:p w:rsidR="00BA4227" w:rsidRPr="006A53B7" w:rsidRDefault="00D320BF" w:rsidP="00331CC2">
      <w:pPr>
        <w:pStyle w:val="Section"/>
        <w:outlineLvl w:val="3"/>
        <w:rPr>
          <w:bCs w:val="0"/>
          <w:sz w:val="24"/>
          <w:szCs w:val="24"/>
        </w:rPr>
      </w:pPr>
      <w:r>
        <w:rPr>
          <w:rFonts w:hint="eastAsia"/>
          <w:sz w:val="24"/>
          <w:szCs w:val="24"/>
          <w:lang w:eastAsia="zh-CN"/>
        </w:rPr>
        <w:t>(1)</w:t>
      </w:r>
      <w:r w:rsidR="00BA4227" w:rsidRPr="006A53B7">
        <w:rPr>
          <w:sz w:val="24"/>
          <w:szCs w:val="24"/>
        </w:rPr>
        <w:t xml:space="preserve"> Number of </w:t>
      </w:r>
      <w:r w:rsidR="00764635">
        <w:rPr>
          <w:sz w:val="24"/>
          <w:szCs w:val="24"/>
        </w:rPr>
        <w:t xml:space="preserve">common </w:t>
      </w:r>
      <w:r w:rsidR="00BA4227" w:rsidRPr="006A53B7">
        <w:rPr>
          <w:sz w:val="24"/>
          <w:szCs w:val="24"/>
        </w:rPr>
        <w:t>shareholders</w:t>
      </w:r>
      <w:r w:rsidR="005A71FF">
        <w:rPr>
          <w:sz w:val="24"/>
          <w:szCs w:val="24"/>
        </w:rPr>
        <w:t>,</w:t>
      </w:r>
      <w:r w:rsidR="00BA4227" w:rsidRPr="006A53B7">
        <w:rPr>
          <w:sz w:val="24"/>
          <w:szCs w:val="24"/>
        </w:rPr>
        <w:t xml:space="preserve"> </w:t>
      </w:r>
      <w:r w:rsidR="005A71FF">
        <w:rPr>
          <w:sz w:val="24"/>
          <w:szCs w:val="24"/>
        </w:rPr>
        <w:t xml:space="preserve">number </w:t>
      </w:r>
      <w:r w:rsidR="00BA4227" w:rsidRPr="006A53B7">
        <w:rPr>
          <w:sz w:val="24"/>
          <w:szCs w:val="24"/>
        </w:rPr>
        <w:t>of preference share</w:t>
      </w:r>
      <w:r w:rsidR="005A71FF">
        <w:rPr>
          <w:sz w:val="24"/>
          <w:szCs w:val="24"/>
        </w:rPr>
        <w:t>holder</w:t>
      </w:r>
      <w:r w:rsidR="00BA4227" w:rsidRPr="006A53B7">
        <w:rPr>
          <w:sz w:val="24"/>
          <w:szCs w:val="24"/>
        </w:rPr>
        <w:t xml:space="preserve">s with </w:t>
      </w:r>
      <w:r w:rsidR="005A71FF">
        <w:rPr>
          <w:sz w:val="24"/>
          <w:szCs w:val="24"/>
        </w:rPr>
        <w:t xml:space="preserve">resumed </w:t>
      </w:r>
      <w:r w:rsidR="00BA4227" w:rsidRPr="006A53B7">
        <w:rPr>
          <w:sz w:val="24"/>
          <w:szCs w:val="24"/>
        </w:rPr>
        <w:t>voting rights, and top 10 shareholders</w:t>
      </w:r>
    </w:p>
    <w:p w:rsidR="00BA4227" w:rsidRPr="001D10AE" w:rsidRDefault="00BA4227" w:rsidP="00331CC2">
      <w:pPr>
        <w:jc w:val="right"/>
      </w:pPr>
      <w:r w:rsidRPr="001D10AE">
        <w:t>Unit: Share</w:t>
      </w:r>
    </w:p>
    <w:tbl>
      <w:tblPr>
        <w:tblW w:w="0" w:type="auto"/>
        <w:tblInd w:w="28" w:type="dxa"/>
        <w:tblLayout w:type="fixed"/>
        <w:tblCellMar>
          <w:left w:w="28" w:type="dxa"/>
          <w:right w:w="28" w:type="dxa"/>
        </w:tblCellMar>
        <w:tblLook w:val="0000" w:firstRow="0" w:lastRow="0" w:firstColumn="0" w:lastColumn="0" w:noHBand="0" w:noVBand="0"/>
      </w:tblPr>
      <w:tblGrid>
        <w:gridCol w:w="1195"/>
        <w:gridCol w:w="790"/>
        <w:gridCol w:w="269"/>
        <w:gridCol w:w="1290"/>
        <w:gridCol w:w="567"/>
        <w:gridCol w:w="672"/>
        <w:gridCol w:w="179"/>
        <w:gridCol w:w="1134"/>
        <w:gridCol w:w="425"/>
        <w:gridCol w:w="283"/>
        <w:gridCol w:w="284"/>
        <w:gridCol w:w="850"/>
        <w:gridCol w:w="851"/>
        <w:gridCol w:w="425"/>
        <w:gridCol w:w="353"/>
      </w:tblGrid>
      <w:tr w:rsidR="00BA4227" w:rsidRPr="006A53B7" w:rsidTr="00BA4227">
        <w:trPr>
          <w:cantSplit/>
        </w:trPr>
        <w:tc>
          <w:tcPr>
            <w:tcW w:w="1195"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764635">
            <w:pPr>
              <w:jc w:val="left"/>
            </w:pPr>
            <w:r w:rsidRPr="006A53B7">
              <w:t xml:space="preserve">Total number of </w:t>
            </w:r>
            <w:r w:rsidR="00764635">
              <w:t xml:space="preserve">common </w:t>
            </w:r>
            <w:r w:rsidRPr="006A53B7">
              <w:t>shareholders at the end of the reporting period</w:t>
            </w:r>
          </w:p>
        </w:tc>
        <w:tc>
          <w:tcPr>
            <w:tcW w:w="790"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55,517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764635">
            <w:pPr>
              <w:jc w:val="left"/>
            </w:pPr>
            <w:r w:rsidRPr="006A53B7">
              <w:t xml:space="preserve">Total number of </w:t>
            </w:r>
            <w:r w:rsidR="00764635">
              <w:t xml:space="preserve">common </w:t>
            </w:r>
            <w:r w:rsidRPr="006A53B7">
              <w:t xml:space="preserve">shareholders at the </w:t>
            </w:r>
            <w:r w:rsidR="00764635">
              <w:t>prior month</w:t>
            </w:r>
            <w:r w:rsidRPr="006A53B7">
              <w:t xml:space="preserve"> before the disclosure </w:t>
            </w:r>
            <w:r w:rsidR="00764635">
              <w:t xml:space="preserve">date </w:t>
            </w:r>
            <w:r w:rsidRPr="006A53B7">
              <w:t>of the Annual Report</w:t>
            </w:r>
          </w:p>
        </w:tc>
        <w:tc>
          <w:tcPr>
            <w:tcW w:w="672"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49,034</w:t>
            </w:r>
          </w:p>
        </w:tc>
        <w:tc>
          <w:tcPr>
            <w:tcW w:w="1738"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764635">
            <w:pPr>
              <w:jc w:val="left"/>
            </w:pPr>
            <w:r w:rsidRPr="006A53B7">
              <w:t>Total number of p</w:t>
            </w:r>
            <w:bookmarkStart w:id="1" w:name="_GoBack"/>
            <w:bookmarkEnd w:id="1"/>
            <w:r w:rsidRPr="006A53B7">
              <w:t>reference share</w:t>
            </w:r>
            <w:r w:rsidR="00764635">
              <w:t>holder</w:t>
            </w:r>
            <w:r w:rsidRPr="006A53B7">
              <w:t xml:space="preserve">s with </w:t>
            </w:r>
            <w:r w:rsidR="00764635">
              <w:t xml:space="preserve">resumed </w:t>
            </w:r>
            <w:r w:rsidRPr="006A53B7">
              <w:t xml:space="preserve">voting rights restored at the </w:t>
            </w:r>
            <w:r w:rsidR="00764635">
              <w:t>period-</w:t>
            </w:r>
            <w:r w:rsidRPr="006A53B7">
              <w:t xml:space="preserve">end </w:t>
            </w:r>
          </w:p>
        </w:tc>
        <w:tc>
          <w:tcPr>
            <w:tcW w:w="283"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0</w:t>
            </w:r>
          </w:p>
        </w:tc>
        <w:tc>
          <w:tcPr>
            <w:tcW w:w="2410"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854DFC">
            <w:pPr>
              <w:jc w:val="left"/>
            </w:pPr>
            <w:r w:rsidRPr="006A53B7">
              <w:t>Total number of preference share</w:t>
            </w:r>
            <w:r w:rsidR="00764635">
              <w:t>holder</w:t>
            </w:r>
            <w:r w:rsidRPr="006A53B7">
              <w:t xml:space="preserve">s with </w:t>
            </w:r>
            <w:r w:rsidR="00764635">
              <w:t xml:space="preserve">resumed </w:t>
            </w:r>
            <w:r w:rsidRPr="006A53B7">
              <w:t xml:space="preserve">voting rights restored at the </w:t>
            </w:r>
            <w:r w:rsidR="00764635">
              <w:t xml:space="preserve">prior </w:t>
            </w:r>
            <w:proofErr w:type="spellStart"/>
            <w:r w:rsidR="00764635">
              <w:t>month</w:t>
            </w:r>
            <w:r w:rsidRPr="006A53B7">
              <w:t>end</w:t>
            </w:r>
            <w:proofErr w:type="spellEnd"/>
            <w:r w:rsidRPr="006A53B7">
              <w:t xml:space="preserve"> before the disclosure</w:t>
            </w:r>
            <w:r w:rsidR="00764635">
              <w:t xml:space="preserve"> date</w:t>
            </w:r>
            <w:r w:rsidRPr="006A53B7">
              <w:t xml:space="preserve"> of the Annual Report</w:t>
            </w:r>
          </w:p>
        </w:tc>
        <w:tc>
          <w:tcPr>
            <w:tcW w:w="353"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0</w:t>
            </w:r>
          </w:p>
        </w:tc>
      </w:tr>
      <w:tr w:rsidR="00BA4227" w:rsidRPr="006A53B7">
        <w:trPr>
          <w:cantSplit/>
        </w:trPr>
        <w:tc>
          <w:tcPr>
            <w:tcW w:w="9567" w:type="dxa"/>
            <w:gridSpan w:val="15"/>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4C23D0" w:rsidP="002F793B">
            <w:pPr>
              <w:jc w:val="center"/>
            </w:pPr>
            <w:r>
              <w:t>T</w:t>
            </w:r>
            <w:r w:rsidR="00BA4227" w:rsidRPr="006A53B7">
              <w:t>op 10 shareholders</w:t>
            </w:r>
          </w:p>
        </w:tc>
      </w:tr>
      <w:tr w:rsidR="00BA4227" w:rsidRPr="006A53B7" w:rsidTr="0029184B">
        <w:trPr>
          <w:cantSplit/>
        </w:trPr>
        <w:tc>
          <w:tcPr>
            <w:tcW w:w="3544" w:type="dxa"/>
            <w:gridSpan w:val="4"/>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Name of shareholder</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Nature of shareholder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Shareholding percentage (%)</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Number of shares held</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121004">
            <w:pPr>
              <w:jc w:val="center"/>
            </w:pPr>
            <w:r w:rsidRPr="006A53B7">
              <w:t xml:space="preserve">Number of </w:t>
            </w:r>
            <w:r w:rsidR="00D606CF">
              <w:t xml:space="preserve">restricted </w:t>
            </w:r>
            <w:r w:rsidRPr="006A53B7">
              <w:t xml:space="preserve">shares </w:t>
            </w:r>
            <w:r w:rsidR="00121004">
              <w:t>held</w:t>
            </w:r>
          </w:p>
        </w:tc>
        <w:tc>
          <w:tcPr>
            <w:tcW w:w="1629"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B8197E">
            <w:pPr>
              <w:jc w:val="center"/>
            </w:pPr>
            <w:r w:rsidRPr="006A53B7">
              <w:t xml:space="preserve">Pledged or </w:t>
            </w:r>
            <w:proofErr w:type="spellStart"/>
            <w:r w:rsidR="00B8197E">
              <w:t>frozen</w:t>
            </w:r>
            <w:r w:rsidRPr="006A53B7">
              <w:t>shares</w:t>
            </w:r>
            <w:proofErr w:type="spellEnd"/>
          </w:p>
        </w:tc>
      </w:tr>
      <w:tr w:rsidR="00BA4227" w:rsidRPr="006A53B7" w:rsidTr="0029184B">
        <w:trPr>
          <w:cantSplit/>
        </w:trPr>
        <w:tc>
          <w:tcPr>
            <w:tcW w:w="3544" w:type="dxa"/>
            <w:gridSpan w:val="4"/>
            <w:vMerge/>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center"/>
            </w:pPr>
          </w:p>
        </w:tc>
        <w:tc>
          <w:tcPr>
            <w:tcW w:w="1418" w:type="dxa"/>
            <w:gridSpan w:val="3"/>
            <w:vMerge/>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cente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center"/>
            </w:pPr>
          </w:p>
        </w:tc>
        <w:tc>
          <w:tcPr>
            <w:tcW w:w="850" w:type="dxa"/>
            <w:vMerge/>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31655B" w:rsidP="0031655B">
            <w:pPr>
              <w:jc w:val="center"/>
            </w:pPr>
            <w:r w:rsidRPr="006A53B7">
              <w:t>State</w:t>
            </w:r>
          </w:p>
        </w:tc>
        <w:tc>
          <w:tcPr>
            <w:tcW w:w="77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Number</w:t>
            </w:r>
          </w:p>
        </w:tc>
      </w:tr>
      <w:tr w:rsidR="00BA4227" w:rsidRPr="006A53B7" w:rsidTr="0029184B">
        <w:trPr>
          <w:cantSplit/>
        </w:trPr>
        <w:tc>
          <w:tcPr>
            <w:tcW w:w="3544" w:type="dxa"/>
            <w:gridSpan w:val="4"/>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pPr>
            <w:r w:rsidRPr="006A53B7">
              <w:t xml:space="preserve">Jiangxi </w:t>
            </w:r>
            <w:proofErr w:type="spellStart"/>
            <w:r w:rsidRPr="006A53B7">
              <w:t>Ruide</w:t>
            </w:r>
            <w:proofErr w:type="spellEnd"/>
            <w:r w:rsidRPr="006A53B7">
              <w:t xml:space="preserve"> Venture Capital Co., Ltd.</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B8197E">
            <w:pPr>
              <w:jc w:val="left"/>
            </w:pPr>
            <w:r w:rsidRPr="006A53B7">
              <w:t xml:space="preserve">Domestic non-state-owned </w:t>
            </w:r>
            <w:r w:rsidR="00B8197E">
              <w:t>corporation</w:t>
            </w:r>
          </w:p>
        </w:tc>
        <w:tc>
          <w:tcPr>
            <w:tcW w:w="1134"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36.58%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151,211,000</w:t>
            </w:r>
          </w:p>
        </w:tc>
        <w:tc>
          <w:tcPr>
            <w:tcW w:w="850"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left"/>
            </w:pPr>
            <w:r w:rsidRPr="006A53B7">
              <w:t>Pledge</w:t>
            </w:r>
            <w:r w:rsidR="0031655B" w:rsidRPr="006A53B7">
              <w:t>d</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5,359,999</w:t>
            </w:r>
          </w:p>
        </w:tc>
      </w:tr>
      <w:tr w:rsidR="00BA4227" w:rsidRPr="006A53B7" w:rsidTr="0029184B">
        <w:trPr>
          <w:cantSplit/>
        </w:trPr>
        <w:tc>
          <w:tcPr>
            <w:tcW w:w="3544" w:type="dxa"/>
            <w:gridSpan w:val="4"/>
            <w:tcBorders>
              <w:top w:val="single" w:sz="4" w:space="0" w:color="auto"/>
              <w:left w:val="single" w:sz="4" w:space="0" w:color="auto"/>
              <w:bottom w:val="single" w:sz="4" w:space="0" w:color="auto"/>
              <w:right w:val="single" w:sz="4" w:space="0" w:color="auto"/>
            </w:tcBorders>
            <w:vAlign w:val="center"/>
          </w:tcPr>
          <w:p w:rsidR="00BA4227" w:rsidRPr="006A53B7" w:rsidRDefault="00BA4227" w:rsidP="00B8197E">
            <w:pPr>
              <w:jc w:val="left"/>
            </w:pPr>
            <w:proofErr w:type="spellStart"/>
            <w:r w:rsidRPr="006A53B7">
              <w:t>Jinfeng</w:t>
            </w:r>
            <w:proofErr w:type="spellEnd"/>
            <w:r w:rsidRPr="006A53B7">
              <w:t xml:space="preserve"> Investment Holding Co., Ltd.</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B8197E">
            <w:pPr>
              <w:jc w:val="left"/>
            </w:pPr>
            <w:r w:rsidRPr="006A53B7">
              <w:t>Domestic non-state-owned</w:t>
            </w:r>
            <w:r w:rsidR="001634C9">
              <w:t xml:space="preserve"> </w:t>
            </w:r>
            <w:r w:rsidR="00B8197E">
              <w:t>corporation</w:t>
            </w:r>
          </w:p>
        </w:tc>
        <w:tc>
          <w:tcPr>
            <w:tcW w:w="1134"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13.18%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54,486,757</w:t>
            </w:r>
          </w:p>
        </w:tc>
        <w:tc>
          <w:tcPr>
            <w:tcW w:w="850"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-5,513,243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r>
      <w:tr w:rsidR="00BA4227" w:rsidRPr="006A53B7" w:rsidTr="0029184B">
        <w:trPr>
          <w:cantSplit/>
        </w:trPr>
        <w:tc>
          <w:tcPr>
            <w:tcW w:w="3544" w:type="dxa"/>
            <w:gridSpan w:val="4"/>
            <w:tcBorders>
              <w:top w:val="single" w:sz="4" w:space="0" w:color="auto"/>
              <w:left w:val="single" w:sz="4" w:space="0" w:color="auto"/>
              <w:bottom w:val="single" w:sz="4" w:space="0" w:color="auto"/>
              <w:right w:val="single" w:sz="4" w:space="0" w:color="auto"/>
            </w:tcBorders>
            <w:vAlign w:val="center"/>
          </w:tcPr>
          <w:p w:rsidR="00BA4227" w:rsidRPr="006A53B7" w:rsidRDefault="00BA4227" w:rsidP="00AC2449">
            <w:pPr>
              <w:jc w:val="left"/>
            </w:pPr>
            <w:r w:rsidRPr="006A53B7">
              <w:t xml:space="preserve">Xinjiang </w:t>
            </w:r>
            <w:proofErr w:type="spellStart"/>
            <w:r w:rsidRPr="006A53B7">
              <w:t>Qianchang</w:t>
            </w:r>
            <w:proofErr w:type="spellEnd"/>
            <w:r w:rsidRPr="006A53B7">
              <w:t xml:space="preserve"> </w:t>
            </w:r>
            <w:r w:rsidR="00AC2449">
              <w:t xml:space="preserve">Enterprise </w:t>
            </w:r>
            <w:r w:rsidRPr="006A53B7">
              <w:t>Consulting Management Limited Partnership</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B8197E">
            <w:pPr>
              <w:jc w:val="left"/>
            </w:pPr>
            <w:r w:rsidRPr="006A53B7">
              <w:t xml:space="preserve">Domestic non-state-owned </w:t>
            </w:r>
            <w:r w:rsidR="00B8197E">
              <w:t>corporation</w:t>
            </w:r>
          </w:p>
        </w:tc>
        <w:tc>
          <w:tcPr>
            <w:tcW w:w="1134"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7.26%</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30,000,000</w:t>
            </w:r>
          </w:p>
        </w:tc>
        <w:tc>
          <w:tcPr>
            <w:tcW w:w="850"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r>
      <w:tr w:rsidR="00BA4227" w:rsidRPr="006A53B7" w:rsidTr="0029184B">
        <w:trPr>
          <w:cantSplit/>
        </w:trPr>
        <w:tc>
          <w:tcPr>
            <w:tcW w:w="3544" w:type="dxa"/>
            <w:gridSpan w:val="4"/>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pPr>
            <w:proofErr w:type="spellStart"/>
            <w:r w:rsidRPr="006A53B7">
              <w:t>Ganzhou</w:t>
            </w:r>
            <w:proofErr w:type="spellEnd"/>
            <w:r w:rsidRPr="006A53B7">
              <w:t xml:space="preserve"> Rare Earth Group Co., Ltd.</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B8197E">
            <w:pPr>
              <w:jc w:val="left"/>
            </w:pPr>
            <w:r w:rsidRPr="006A53B7">
              <w:t xml:space="preserve">State-owned </w:t>
            </w:r>
            <w:r w:rsidR="00B8197E">
              <w:t>corporation</w:t>
            </w:r>
          </w:p>
        </w:tc>
        <w:tc>
          <w:tcPr>
            <w:tcW w:w="1134"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6.53%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27,000,000</w:t>
            </w:r>
          </w:p>
        </w:tc>
        <w:tc>
          <w:tcPr>
            <w:tcW w:w="850"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r>
      <w:tr w:rsidR="00BA4227" w:rsidRPr="006A53B7" w:rsidTr="0029184B">
        <w:trPr>
          <w:cantSplit/>
        </w:trPr>
        <w:tc>
          <w:tcPr>
            <w:tcW w:w="3544" w:type="dxa"/>
            <w:gridSpan w:val="4"/>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pPr>
            <w:r w:rsidRPr="006A53B7">
              <w:t xml:space="preserve">Shenzhen </w:t>
            </w:r>
            <w:proofErr w:type="spellStart"/>
            <w:r w:rsidRPr="006A53B7">
              <w:t>Yuanzhi</w:t>
            </w:r>
            <w:proofErr w:type="spellEnd"/>
            <w:r w:rsidRPr="006A53B7">
              <w:t xml:space="preserve"> </w:t>
            </w:r>
            <w:proofErr w:type="spellStart"/>
            <w:r w:rsidRPr="006A53B7">
              <w:t>Fuhai</w:t>
            </w:r>
            <w:proofErr w:type="spellEnd"/>
            <w:r w:rsidRPr="006A53B7">
              <w:t xml:space="preserve"> No. 9 Investment Enterprise (Limited Partnership)</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B8197E">
            <w:pPr>
              <w:jc w:val="left"/>
            </w:pPr>
            <w:r w:rsidRPr="006A53B7">
              <w:t xml:space="preserve">Domestic non-state-owned </w:t>
            </w:r>
            <w:r w:rsidR="00B8197E">
              <w:t>corporation</w:t>
            </w:r>
          </w:p>
        </w:tc>
        <w:tc>
          <w:tcPr>
            <w:tcW w:w="1134"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5.14%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21,265,900</w:t>
            </w:r>
          </w:p>
        </w:tc>
        <w:tc>
          <w:tcPr>
            <w:tcW w:w="850"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-4,134,100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r>
      <w:tr w:rsidR="00BA4227" w:rsidRPr="006A53B7" w:rsidTr="0029184B">
        <w:trPr>
          <w:cantSplit/>
        </w:trPr>
        <w:tc>
          <w:tcPr>
            <w:tcW w:w="3544" w:type="dxa"/>
            <w:gridSpan w:val="4"/>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pPr>
            <w:r w:rsidRPr="006A53B7">
              <w:lastRenderedPageBreak/>
              <w:t xml:space="preserve">Shanghai </w:t>
            </w:r>
            <w:proofErr w:type="spellStart"/>
            <w:r w:rsidRPr="006A53B7">
              <w:t>Shangqi</w:t>
            </w:r>
            <w:proofErr w:type="spellEnd"/>
            <w:r w:rsidRPr="006A53B7">
              <w:t xml:space="preserve"> Delian Investment Center (Limited Partnership)</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B8197E">
            <w:pPr>
              <w:jc w:val="left"/>
            </w:pPr>
            <w:r w:rsidRPr="006A53B7">
              <w:t xml:space="preserve">Domestic non-state-owned </w:t>
            </w:r>
            <w:r w:rsidR="00B8197E">
              <w:t>corporation</w:t>
            </w:r>
          </w:p>
        </w:tc>
        <w:tc>
          <w:tcPr>
            <w:tcW w:w="1134"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2.00%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8,270,800</w:t>
            </w:r>
          </w:p>
        </w:tc>
        <w:tc>
          <w:tcPr>
            <w:tcW w:w="850"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-5,898,700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r>
      <w:tr w:rsidR="00BA4227" w:rsidRPr="006A53B7" w:rsidTr="0029184B">
        <w:trPr>
          <w:cantSplit/>
        </w:trPr>
        <w:tc>
          <w:tcPr>
            <w:tcW w:w="3544" w:type="dxa"/>
            <w:gridSpan w:val="4"/>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pPr>
            <w:r w:rsidRPr="006A53B7">
              <w:t>China-Belgium Direct Equity Investment Fund</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B8197E">
            <w:pPr>
              <w:jc w:val="left"/>
            </w:pPr>
            <w:r w:rsidRPr="006A53B7">
              <w:t xml:space="preserve">State-owned </w:t>
            </w:r>
            <w:r w:rsidR="00B8197E">
              <w:t>corporation</w:t>
            </w:r>
          </w:p>
        </w:tc>
        <w:tc>
          <w:tcPr>
            <w:tcW w:w="1134"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0.90%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3,731,658</w:t>
            </w:r>
          </w:p>
        </w:tc>
        <w:tc>
          <w:tcPr>
            <w:tcW w:w="850"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-4,010,274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r>
      <w:tr w:rsidR="00BA4227" w:rsidRPr="006A53B7" w:rsidTr="0029184B">
        <w:trPr>
          <w:cantSplit/>
        </w:trPr>
        <w:tc>
          <w:tcPr>
            <w:tcW w:w="3544" w:type="dxa"/>
            <w:gridSpan w:val="4"/>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pPr>
            <w:r w:rsidRPr="006A53B7">
              <w:t xml:space="preserve">Beijing </w:t>
            </w:r>
            <w:proofErr w:type="spellStart"/>
            <w:r w:rsidRPr="006A53B7">
              <w:t>Jinhe</w:t>
            </w:r>
            <w:proofErr w:type="spellEnd"/>
            <w:r w:rsidRPr="006A53B7">
              <w:t xml:space="preserve"> </w:t>
            </w:r>
            <w:proofErr w:type="spellStart"/>
            <w:r w:rsidRPr="006A53B7">
              <w:t>Yongci</w:t>
            </w:r>
            <w:proofErr w:type="spellEnd"/>
            <w:r w:rsidRPr="006A53B7">
              <w:t xml:space="preserve"> Investment Management Center (Limited Partnership)</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B8197E">
            <w:pPr>
              <w:jc w:val="left"/>
            </w:pPr>
            <w:r w:rsidRPr="006A53B7">
              <w:t xml:space="preserve">Domestic non-state-owned </w:t>
            </w:r>
            <w:r w:rsidR="00B8197E">
              <w:t>corporation</w:t>
            </w:r>
          </w:p>
        </w:tc>
        <w:tc>
          <w:tcPr>
            <w:tcW w:w="1134"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0.74%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3,062,550</w:t>
            </w:r>
          </w:p>
        </w:tc>
        <w:tc>
          <w:tcPr>
            <w:tcW w:w="850"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-7,434,200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r>
      <w:tr w:rsidR="00BA4227" w:rsidRPr="006A53B7" w:rsidTr="0029184B">
        <w:trPr>
          <w:cantSplit/>
        </w:trPr>
        <w:tc>
          <w:tcPr>
            <w:tcW w:w="3544" w:type="dxa"/>
            <w:gridSpan w:val="4"/>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pPr>
            <w:r w:rsidRPr="006A53B7">
              <w:t xml:space="preserve">Mao </w:t>
            </w:r>
            <w:proofErr w:type="spellStart"/>
            <w:r w:rsidRPr="006A53B7">
              <w:t>Huayun</w:t>
            </w:r>
            <w:proofErr w:type="spellEnd"/>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B8197E">
            <w:pPr>
              <w:jc w:val="left"/>
            </w:pPr>
            <w:r w:rsidRPr="006A53B7">
              <w:t xml:space="preserve">Domestic </w:t>
            </w:r>
            <w:r w:rsidR="00B8197E">
              <w:t>individual</w:t>
            </w:r>
          </w:p>
        </w:tc>
        <w:tc>
          <w:tcPr>
            <w:tcW w:w="1134"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0.44%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1,800,000</w:t>
            </w:r>
          </w:p>
        </w:tc>
        <w:tc>
          <w:tcPr>
            <w:tcW w:w="850"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r>
      <w:tr w:rsidR="00BA4227" w:rsidRPr="006A53B7" w:rsidTr="0029184B">
        <w:trPr>
          <w:cantSplit/>
        </w:trPr>
        <w:tc>
          <w:tcPr>
            <w:tcW w:w="3544" w:type="dxa"/>
            <w:gridSpan w:val="4"/>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pPr>
            <w:r w:rsidRPr="006A53B7">
              <w:t xml:space="preserve">Refinancing Guaranteed Security Subsidiary Account of China International Capital Corporation Limited </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B8197E">
            <w:pPr>
              <w:jc w:val="left"/>
            </w:pPr>
            <w:r w:rsidRPr="006A53B7">
              <w:t xml:space="preserve">Domestic non-state-owned </w:t>
            </w:r>
            <w:r w:rsidR="00B8197E">
              <w:t>corporation</w:t>
            </w:r>
          </w:p>
        </w:tc>
        <w:tc>
          <w:tcPr>
            <w:tcW w:w="1134"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0.43%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r w:rsidRPr="006A53B7">
              <w:t>1,767,500</w:t>
            </w:r>
          </w:p>
        </w:tc>
        <w:tc>
          <w:tcPr>
            <w:tcW w:w="850"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p>
        </w:tc>
      </w:tr>
      <w:tr w:rsidR="00BA4227" w:rsidRPr="006A53B7">
        <w:trPr>
          <w:cantSplit/>
        </w:trPr>
        <w:tc>
          <w:tcPr>
            <w:tcW w:w="2254"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E04479" w:rsidP="00331CC2">
            <w:r>
              <w:t>Related-parties or acting-in-concert parties among the top ten shareholders</w:t>
            </w:r>
          </w:p>
        </w:tc>
        <w:tc>
          <w:tcPr>
            <w:tcW w:w="731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91550F">
            <w:r w:rsidRPr="006A53B7">
              <w:t xml:space="preserve">(1) Jiangxi </w:t>
            </w:r>
            <w:proofErr w:type="spellStart"/>
            <w:r w:rsidRPr="006A53B7">
              <w:t>Ruide</w:t>
            </w:r>
            <w:proofErr w:type="spellEnd"/>
            <w:r w:rsidRPr="006A53B7">
              <w:t xml:space="preserve"> Venture Capital Co., Ltd. (</w:t>
            </w:r>
            <w:r w:rsidR="00497C34" w:rsidRPr="006A53B7">
              <w:t>“</w:t>
            </w:r>
            <w:proofErr w:type="spellStart"/>
            <w:r w:rsidRPr="006A53B7">
              <w:t>Ruide</w:t>
            </w:r>
            <w:proofErr w:type="spellEnd"/>
            <w:r w:rsidRPr="006A53B7">
              <w:t xml:space="preserve"> VC</w:t>
            </w:r>
            <w:r w:rsidR="00497C34" w:rsidRPr="006A53B7">
              <w:t>”</w:t>
            </w:r>
            <w:r w:rsidRPr="006A53B7">
              <w:t xml:space="preserve">) mentioned above is the controlling shareholder of the Company. </w:t>
            </w:r>
            <w:r w:rsidR="0091550F">
              <w:t xml:space="preserve">Actual </w:t>
            </w:r>
            <w:r w:rsidRPr="006A53B7">
              <w:t xml:space="preserve">controllers of the Company, namely Cao </w:t>
            </w:r>
            <w:proofErr w:type="spellStart"/>
            <w:r w:rsidRPr="006A53B7">
              <w:t>Baogui</w:t>
            </w:r>
            <w:proofErr w:type="spellEnd"/>
            <w:r w:rsidRPr="006A53B7">
              <w:t xml:space="preserve">, Hu </w:t>
            </w:r>
            <w:proofErr w:type="spellStart"/>
            <w:r w:rsidRPr="006A53B7">
              <w:t>Zhibin</w:t>
            </w:r>
            <w:proofErr w:type="spellEnd"/>
            <w:r w:rsidRPr="006A53B7">
              <w:t xml:space="preserve"> and Li </w:t>
            </w:r>
            <w:proofErr w:type="spellStart"/>
            <w:r w:rsidRPr="006A53B7">
              <w:t>Xinnong</w:t>
            </w:r>
            <w:proofErr w:type="spellEnd"/>
            <w:r w:rsidRPr="006A53B7">
              <w:t xml:space="preserve"> contribute 40%, 30% and 30% to the capital base of </w:t>
            </w:r>
            <w:proofErr w:type="spellStart"/>
            <w:r w:rsidRPr="006A53B7">
              <w:t>Ruide</w:t>
            </w:r>
            <w:proofErr w:type="spellEnd"/>
            <w:r w:rsidRPr="006A53B7">
              <w:t xml:space="preserve"> VC, respectively, and they are</w:t>
            </w:r>
            <w:r w:rsidR="0091550F">
              <w:t xml:space="preserve"> </w:t>
            </w:r>
            <w:r w:rsidR="0091550F" w:rsidRPr="006A53B7">
              <w:t>acting</w:t>
            </w:r>
            <w:r w:rsidR="0091550F">
              <w:t>-</w:t>
            </w:r>
            <w:r w:rsidR="0091550F" w:rsidRPr="006A53B7">
              <w:t>in</w:t>
            </w:r>
            <w:r w:rsidR="0091550F">
              <w:t>-</w:t>
            </w:r>
            <w:r w:rsidRPr="006A53B7">
              <w:t>concert</w:t>
            </w:r>
            <w:r w:rsidR="0091550F">
              <w:t xml:space="preserve"> parties</w:t>
            </w:r>
            <w:r w:rsidRPr="006A53B7">
              <w:t xml:space="preserve">. </w:t>
            </w:r>
            <w:proofErr w:type="spellStart"/>
            <w:r w:rsidRPr="006A53B7">
              <w:t>Cai</w:t>
            </w:r>
            <w:proofErr w:type="spellEnd"/>
            <w:r w:rsidRPr="006A53B7">
              <w:t xml:space="preserve"> </w:t>
            </w:r>
            <w:proofErr w:type="spellStart"/>
            <w:r w:rsidRPr="006A53B7">
              <w:t>Baogui</w:t>
            </w:r>
            <w:proofErr w:type="spellEnd"/>
            <w:r w:rsidRPr="006A53B7">
              <w:t xml:space="preserve">, Hu </w:t>
            </w:r>
            <w:proofErr w:type="spellStart"/>
            <w:r w:rsidRPr="006A53B7">
              <w:t>Zhibin</w:t>
            </w:r>
            <w:proofErr w:type="spellEnd"/>
            <w:r w:rsidRPr="006A53B7">
              <w:t xml:space="preserve"> and Li </w:t>
            </w:r>
            <w:proofErr w:type="spellStart"/>
            <w:r w:rsidRPr="006A53B7">
              <w:t>Xinnong</w:t>
            </w:r>
            <w:proofErr w:type="spellEnd"/>
            <w:r w:rsidRPr="006A53B7">
              <w:t xml:space="preserve">  hold a 27.31%, 31.43% and 17.96% equity stake in Xinjiang </w:t>
            </w:r>
            <w:proofErr w:type="spellStart"/>
            <w:r w:rsidRPr="006A53B7">
              <w:t>Qianchang</w:t>
            </w:r>
            <w:proofErr w:type="spellEnd"/>
            <w:r w:rsidRPr="006A53B7">
              <w:t xml:space="preserve"> Business Consulting Management Limited Partnership (</w:t>
            </w:r>
            <w:r w:rsidR="00497C34" w:rsidRPr="006A53B7">
              <w:t>“</w:t>
            </w:r>
            <w:r w:rsidRPr="006A53B7">
              <w:t xml:space="preserve">Xinjiang </w:t>
            </w:r>
            <w:proofErr w:type="spellStart"/>
            <w:r w:rsidRPr="006A53B7">
              <w:t>Qianchang</w:t>
            </w:r>
            <w:proofErr w:type="spellEnd"/>
            <w:r w:rsidR="00497C34" w:rsidRPr="006A53B7">
              <w:t>”</w:t>
            </w:r>
            <w:r w:rsidRPr="006A53B7">
              <w:t>), respectively; (2) save as disclosed above, the Company is not aware of any connected relation or concerted action among the other shareholders.</w:t>
            </w:r>
          </w:p>
        </w:tc>
      </w:tr>
    </w:tbl>
    <w:p w:rsidR="00BA4227" w:rsidRPr="006A53B7" w:rsidRDefault="00D320BF" w:rsidP="00331CC2">
      <w:pPr>
        <w:pStyle w:val="Section"/>
        <w:outlineLvl w:val="3"/>
        <w:rPr>
          <w:bCs w:val="0"/>
          <w:sz w:val="24"/>
          <w:szCs w:val="24"/>
        </w:rPr>
      </w:pPr>
      <w:r>
        <w:rPr>
          <w:rFonts w:hint="eastAsia"/>
          <w:sz w:val="24"/>
          <w:szCs w:val="24"/>
          <w:lang w:eastAsia="zh-CN"/>
        </w:rPr>
        <w:t>(2)</w:t>
      </w:r>
      <w:r w:rsidR="00BA4227" w:rsidRPr="006A53B7">
        <w:rPr>
          <w:sz w:val="24"/>
          <w:szCs w:val="24"/>
        </w:rPr>
        <w:t xml:space="preserve"> Number of preference shareholders and </w:t>
      </w:r>
      <w:r w:rsidR="00A0546E">
        <w:rPr>
          <w:rFonts w:hint="eastAsia"/>
          <w:sz w:val="24"/>
          <w:szCs w:val="24"/>
          <w:lang w:eastAsia="zh-CN"/>
        </w:rPr>
        <w:t>status</w:t>
      </w:r>
      <w:r w:rsidR="00BA4227" w:rsidRPr="006A53B7">
        <w:rPr>
          <w:sz w:val="24"/>
          <w:szCs w:val="24"/>
        </w:rPr>
        <w:t xml:space="preserve"> of top 10 preference shareholders</w:t>
      </w:r>
    </w:p>
    <w:p w:rsidR="00BA4227" w:rsidRPr="006A53B7" w:rsidRDefault="00BA4227" w:rsidP="00331CC2">
      <w:pPr>
        <w:spacing w:before="0" w:after="0" w:line="360" w:lineRule="auto"/>
        <w:rPr>
          <w:sz w:val="24"/>
          <w:szCs w:val="24"/>
          <w:lang w:eastAsia="zh-CN"/>
        </w:rPr>
      </w:pPr>
      <w:r w:rsidRPr="006A53B7">
        <w:rPr>
          <w:sz w:val="24"/>
          <w:szCs w:val="24"/>
          <w:cs/>
        </w:rPr>
        <w:t xml:space="preserve">□ </w:t>
      </w:r>
      <w:r w:rsidRPr="006A53B7">
        <w:rPr>
          <w:sz w:val="24"/>
          <w:szCs w:val="24"/>
        </w:rPr>
        <w:t xml:space="preserve">Applicable     </w:t>
      </w:r>
      <w:r w:rsidRPr="006A53B7">
        <w:rPr>
          <w:sz w:val="24"/>
          <w:szCs w:val="24"/>
          <w:cs/>
        </w:rPr>
        <w:t xml:space="preserve">√ </w:t>
      </w:r>
      <w:r w:rsidR="00D320BF">
        <w:rPr>
          <w:sz w:val="24"/>
          <w:szCs w:val="24"/>
        </w:rPr>
        <w:t>Not applicable</w:t>
      </w:r>
    </w:p>
    <w:p w:rsidR="00BA4227" w:rsidRPr="006A53B7" w:rsidRDefault="00BA4227" w:rsidP="00331CC2">
      <w:pPr>
        <w:rPr>
          <w:sz w:val="24"/>
          <w:szCs w:val="24"/>
        </w:rPr>
      </w:pPr>
      <w:r w:rsidRPr="006A53B7">
        <w:rPr>
          <w:sz w:val="24"/>
          <w:szCs w:val="24"/>
        </w:rPr>
        <w:t>No preference shareholders held any shares of the Company during the reporting period.</w:t>
      </w:r>
    </w:p>
    <w:p w:rsidR="00BA4227" w:rsidRDefault="00D320BF" w:rsidP="00331CC2">
      <w:pPr>
        <w:pStyle w:val="Section"/>
        <w:outlineLvl w:val="3"/>
        <w:rPr>
          <w:sz w:val="24"/>
          <w:szCs w:val="24"/>
          <w:lang w:eastAsia="zh-CN"/>
        </w:rPr>
      </w:pPr>
      <w:r>
        <w:rPr>
          <w:rFonts w:hint="eastAsia"/>
          <w:sz w:val="24"/>
          <w:szCs w:val="24"/>
          <w:lang w:eastAsia="zh-CN"/>
        </w:rPr>
        <w:t>(3)</w:t>
      </w:r>
      <w:r w:rsidR="00BA4227" w:rsidRPr="006A53B7">
        <w:rPr>
          <w:sz w:val="24"/>
          <w:szCs w:val="24"/>
        </w:rPr>
        <w:t xml:space="preserve"> Disclosure of ownership and control relations between </w:t>
      </w:r>
      <w:r w:rsidR="00A0546E">
        <w:rPr>
          <w:sz w:val="24"/>
          <w:szCs w:val="24"/>
        </w:rPr>
        <w:t xml:space="preserve">the actual controller and </w:t>
      </w:r>
      <w:r w:rsidR="00BA4227" w:rsidRPr="006A53B7">
        <w:rPr>
          <w:sz w:val="24"/>
          <w:szCs w:val="24"/>
        </w:rPr>
        <w:t>the Company in block diagram</w:t>
      </w:r>
    </w:p>
    <w:p w:rsidR="00AA1A31" w:rsidRDefault="00AA1A31" w:rsidP="00AA1A31">
      <w:pPr>
        <w:autoSpaceDE w:val="0"/>
        <w:autoSpaceDN w:val="0"/>
        <w:adjustRightInd w:val="0"/>
        <w:spacing w:before="200" w:after="200"/>
        <w:jc w:val="center"/>
        <w:rPr>
          <w:sz w:val="24"/>
          <w:szCs w:val="24"/>
          <w:lang w:eastAsia="zh-CN"/>
        </w:rPr>
      </w:pPr>
    </w:p>
    <w:p w:rsidR="00AA1A31" w:rsidRDefault="00AA1A31" w:rsidP="00AA1A31">
      <w:pPr>
        <w:autoSpaceDE w:val="0"/>
        <w:autoSpaceDN w:val="0"/>
        <w:adjustRightInd w:val="0"/>
        <w:spacing w:before="200" w:after="200"/>
        <w:jc w:val="center"/>
        <w:rPr>
          <w:sz w:val="24"/>
          <w:szCs w:val="24"/>
          <w:lang w:eastAsia="zh-CN"/>
        </w:rPr>
      </w:pPr>
      <w:r>
        <w:rPr>
          <w:noProof/>
          <w:sz w:val="24"/>
          <w:szCs w:val="24"/>
          <w:lang w:eastAsia="zh-CN"/>
        </w:rPr>
        <mc:AlternateContent>
          <mc:Choice Requires="wpg">
            <w:drawing>
              <wp:anchor distT="0" distB="0" distL="114300" distR="114300" simplePos="0" relativeHeight="251659264" behindDoc="0" locked="0" layoutInCell="1" allowOverlap="1" wp14:anchorId="1B9F401A" wp14:editId="476AF0AC">
                <wp:simplePos x="0" y="0"/>
                <wp:positionH relativeFrom="column">
                  <wp:posOffset>1642110</wp:posOffset>
                </wp:positionH>
                <wp:positionV relativeFrom="paragraph">
                  <wp:posOffset>42657</wp:posOffset>
                </wp:positionV>
                <wp:extent cx="2763297" cy="1617784"/>
                <wp:effectExtent l="0" t="0" r="0" b="1905"/>
                <wp:wrapNone/>
                <wp:docPr id="7" name="组合 7"/>
                <wp:cNvGraphicFramePr/>
                <a:graphic xmlns:a="http://schemas.openxmlformats.org/drawingml/2006/main">
                  <a:graphicData uri="http://schemas.microsoft.com/office/word/2010/wordprocessingGroup">
                    <wpg:wgp>
                      <wpg:cNvGrpSpPr/>
                      <wpg:grpSpPr>
                        <a:xfrm>
                          <a:off x="0" y="0"/>
                          <a:ext cx="2763297" cy="1617784"/>
                          <a:chOff x="381000" y="-19050"/>
                          <a:chExt cx="2763297" cy="1617784"/>
                        </a:xfrm>
                      </wpg:grpSpPr>
                      <wps:wsp>
                        <wps:cNvPr id="2" name="文本框 2"/>
                        <wps:cNvSpPr txBox="1"/>
                        <wps:spPr>
                          <a:xfrm>
                            <a:off x="381000" y="-18527"/>
                            <a:ext cx="708409" cy="175846"/>
                          </a:xfrm>
                          <a:prstGeom prst="rect">
                            <a:avLst/>
                          </a:prstGeom>
                          <a:solidFill>
                            <a:srgbClr val="BCCBE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4D23" w:rsidRDefault="00EE4D23" w:rsidP="00AA1A31">
                              <w:pPr>
                                <w:spacing w:before="0" w:after="0"/>
                              </w:pPr>
                              <w:r w:rsidRPr="00886D0A">
                                <w:t xml:space="preserve">Hu </w:t>
                              </w:r>
                              <w:proofErr w:type="spellStart"/>
                              <w:r w:rsidRPr="00886D0A">
                                <w:t>Zhibin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文本框 3"/>
                        <wps:cNvSpPr txBox="1"/>
                        <wps:spPr>
                          <a:xfrm>
                            <a:off x="1411479" y="-19050"/>
                            <a:ext cx="708409" cy="175846"/>
                          </a:xfrm>
                          <a:prstGeom prst="rect">
                            <a:avLst/>
                          </a:prstGeom>
                          <a:solidFill>
                            <a:srgbClr val="BCCBE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4D23" w:rsidRDefault="00EE4D23" w:rsidP="00AA1A31">
                              <w:pPr>
                                <w:spacing w:before="0" w:after="0"/>
                                <w:jc w:val="center"/>
                              </w:pPr>
                              <w:proofErr w:type="spellStart"/>
                              <w:proofErr w:type="gramStart"/>
                              <w:r w:rsidRPr="00886D0A">
                                <w:t>Cai</w:t>
                              </w:r>
                              <w:proofErr w:type="spellEnd"/>
                              <w:proofErr w:type="gramEnd"/>
                              <w:r w:rsidRPr="00886D0A">
                                <w:t xml:space="preserve"> </w:t>
                              </w:r>
                              <w:proofErr w:type="spellStart"/>
                              <w:r w:rsidRPr="00886D0A">
                                <w:t>Baogui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文本框 4"/>
                        <wps:cNvSpPr txBox="1"/>
                        <wps:spPr>
                          <a:xfrm>
                            <a:off x="2435888" y="-18527"/>
                            <a:ext cx="708409" cy="175846"/>
                          </a:xfrm>
                          <a:prstGeom prst="rect">
                            <a:avLst/>
                          </a:prstGeom>
                          <a:solidFill>
                            <a:srgbClr val="BCCBE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4D23" w:rsidRDefault="00EE4D23" w:rsidP="00AA1A31">
                              <w:pPr>
                                <w:spacing w:before="0" w:after="0"/>
                                <w:jc w:val="center"/>
                              </w:pPr>
                              <w:r w:rsidRPr="00886D0A">
                                <w:t xml:space="preserve">Li </w:t>
                              </w:r>
                              <w:proofErr w:type="spellStart"/>
                              <w:r w:rsidRPr="00886D0A">
                                <w:t>Xinnong</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文本框 5"/>
                        <wps:cNvSpPr txBox="1"/>
                        <wps:spPr>
                          <a:xfrm>
                            <a:off x="634302" y="1422888"/>
                            <a:ext cx="2155372" cy="175846"/>
                          </a:xfrm>
                          <a:prstGeom prst="rect">
                            <a:avLst/>
                          </a:prstGeom>
                          <a:solidFill>
                            <a:srgbClr val="BCCBE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4D23" w:rsidRDefault="00EE4D23" w:rsidP="00AA1A31">
                              <w:pPr>
                                <w:spacing w:before="0" w:after="0"/>
                                <w:jc w:val="center"/>
                              </w:pPr>
                              <w:r>
                                <w:t>JL MAG Rare-Earth Co., Ltd.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文本框 6"/>
                        <wps:cNvSpPr txBox="1"/>
                        <wps:spPr>
                          <a:xfrm>
                            <a:off x="801461" y="704431"/>
                            <a:ext cx="1979441" cy="17584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4D23" w:rsidRDefault="00EE4D23" w:rsidP="00AA1A31">
                              <w:pPr>
                                <w:spacing w:before="0" w:after="0"/>
                                <w:jc w:val="center"/>
                              </w:pPr>
                              <w:r w:rsidRPr="00886D0A">
                                <w:t xml:space="preserve">Jiangxi </w:t>
                              </w:r>
                              <w:proofErr w:type="spellStart"/>
                              <w:r w:rsidRPr="00886D0A">
                                <w:t>Ruide</w:t>
                              </w:r>
                              <w:proofErr w:type="spellEnd"/>
                              <w:r w:rsidRPr="00886D0A">
                                <w:t xml:space="preserve"> Venture Capital Co., Ltd.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9F401A" id="组合 7" o:spid="_x0000_s1026" style="position:absolute;left:0;text-align:left;margin-left:129.3pt;margin-top:3.35pt;width:217.6pt;height:127.4pt;z-index:251659264;mso-width-relative:margin;mso-height-relative:margin" coordorigin="3810,-190" coordsize="27632,1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">
                <v:shapetype id="_x0000_t202" coordsize="21600,21600" o:spt="202" path="m,l,21600r21600,l21600,xe">
                  <v:stroke joinstyle="miter"/>
                  <v:path gradientshapeok="t" o:connecttype="rect"/>
                </v:shapetype>
                <v:shape id="文本框 2" o:spid="_x0000_s1027" type="#_x0000_t202" style="position:absolute;left:3810;top:-185;width:7084;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C9sQA&#10;AADaAAAADwAAAGRycy9kb3ducmV2LnhtbESPQWsCMRSE7wX/Q3hCbzVbD4tsjSJSpaUUqm2hvT03&#10;z2Rx87Js0nX335uC4HGYmW+Y+bJ3teioDZVnBY+TDARx6XXFRsHX5+ZhBiJEZI21Z1IwUIDlYnQ3&#10;x0L7M++o20cjEoRDgQpsjE0hZSgtOQwT3xAn7+hbhzHJ1kjd4jnBXS2nWZZLhxWnBYsNrS2Vp/2f&#10;U3B4e7ar/Lv7MU1ufuXH6+Det4NS9+N+9QQiUh9v4Wv7RSuYwv+VdA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hAvbEAAAA2gAAAA8AAAAAAAAAAAAAAAAAmAIAAGRycy9k&#10;b3ducmV2LnhtbFBLBQYAAAAABAAEAPUAAACJAwAAAAA=&#10;" fillcolor="#bccbe2" stroked="f" strokeweight=".5pt">
                  <v:textbox inset="0,0,0,0">
                    <w:txbxContent>
                      <w:p w:rsidR="00EE4D23" w:rsidRDefault="00EE4D23" w:rsidP="00AA1A31">
                        <w:pPr>
                          <w:spacing w:before="0" w:after="0"/>
                        </w:pPr>
                        <w:r w:rsidRPr="00886D0A">
                          <w:t xml:space="preserve">Hu </w:t>
                        </w:r>
                        <w:proofErr w:type="spellStart"/>
                        <w:r w:rsidRPr="00886D0A">
                          <w:t>Zhibin</w:t>
                        </w:r>
                        <w:proofErr w:type="spellEnd"/>
                      </w:p>
                    </w:txbxContent>
                  </v:textbox>
                </v:shape>
                <v:shape id="文本框 3" o:spid="_x0000_s1028" type="#_x0000_t202" style="position:absolute;left:14114;top:-190;width:7084;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nbcQA&#10;AADaAAAADwAAAGRycy9kb3ducmV2LnhtbESPUUvDMBSF3wX/Q7gD31w6hSJ1WSmioojgNgfb211z&#10;TYrNTWli1/57Iwh7PJxzvsNZlqNrxUB9aDwrWMwzEMS11w0bBZ/bp+s7ECEia2w9k4KJApSry4sl&#10;FtqfeE3DJhqRIBwKVGBj7AopQ23JYZj7jjh5X753GJPsjdQ9nhLctfImy3LpsOG0YLGjB0v19+bH&#10;KTi+Pdoq3w170+XmID9eJ/f+PCl1NRurexCRxngO/7dftIJb+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tp23EAAAA2gAAAA8AAAAAAAAAAAAAAAAAmAIAAGRycy9k&#10;b3ducmV2LnhtbFBLBQYAAAAABAAEAPUAAACJAwAAAAA=&#10;" fillcolor="#bccbe2" stroked="f" strokeweight=".5pt">
                  <v:textbox inset="0,0,0,0">
                    <w:txbxContent>
                      <w:p w:rsidR="00EE4D23" w:rsidRDefault="00EE4D23" w:rsidP="00AA1A31">
                        <w:pPr>
                          <w:spacing w:before="0" w:after="0"/>
                          <w:jc w:val="center"/>
                        </w:pPr>
                        <w:proofErr w:type="spellStart"/>
                        <w:proofErr w:type="gramStart"/>
                        <w:r w:rsidRPr="00886D0A">
                          <w:t>Cai</w:t>
                        </w:r>
                        <w:proofErr w:type="spellEnd"/>
                        <w:proofErr w:type="gramEnd"/>
                        <w:r w:rsidRPr="00886D0A">
                          <w:t xml:space="preserve"> </w:t>
                        </w:r>
                        <w:proofErr w:type="spellStart"/>
                        <w:r w:rsidRPr="00886D0A">
                          <w:t>Baogui</w:t>
                        </w:r>
                        <w:proofErr w:type="spellEnd"/>
                      </w:p>
                    </w:txbxContent>
                  </v:textbox>
                </v:shape>
                <v:shape id="文本框 4" o:spid="_x0000_s1029" type="#_x0000_t202" style="position:absolute;left:24358;top:-185;width:7084;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GcQA&#10;AADaAAAADwAAAGRycy9kb3ducmV2LnhtbESPUUvDMBSF3wX/Q7gD31w6kSJ1WSmioojgNgfb211z&#10;TYrNTWli1/57Iwh7PJxzvsNZlqNrxUB9aDwrWMwzEMS11w0bBZ/bp+s7ECEia2w9k4KJApSry4sl&#10;FtqfeE3DJhqRIBwKVGBj7AopQ23JYZj7jjh5X753GJPsjdQ9nhLctfImy3LpsOG0YLGjB0v19+bH&#10;KTi+Pdoq3w170+XmID9eJ/f+PCl1NRurexCRxngO/7dftIJb+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EPxnEAAAA2gAAAA8AAAAAAAAAAAAAAAAAmAIAAGRycy9k&#10;b3ducmV2LnhtbFBLBQYAAAAABAAEAPUAAACJAwAAAAA=&#10;" fillcolor="#bccbe2" stroked="f" strokeweight=".5pt">
                  <v:textbox inset="0,0,0,0">
                    <w:txbxContent>
                      <w:p w:rsidR="00EE4D23" w:rsidRDefault="00EE4D23" w:rsidP="00AA1A31">
                        <w:pPr>
                          <w:spacing w:before="0" w:after="0"/>
                          <w:jc w:val="center"/>
                        </w:pPr>
                        <w:r w:rsidRPr="00886D0A">
                          <w:t xml:space="preserve">Li </w:t>
                        </w:r>
                        <w:proofErr w:type="spellStart"/>
                        <w:r w:rsidRPr="00886D0A">
                          <w:t>Xinnong</w:t>
                        </w:r>
                        <w:proofErr w:type="spellEnd"/>
                      </w:p>
                    </w:txbxContent>
                  </v:textbox>
                </v:shape>
                <v:shape id="文本框 5" o:spid="_x0000_s1030" type="#_x0000_t202" style="position:absolute;left:6343;top:14228;width:21553;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iagsQA&#10;AADaAAAADwAAAGRycy9kb3ducmV2LnhtbESPUUvDMBSF3wX/Q7gD31w6wSJ1WSmioojgNgfb211z&#10;TYrNTWli1/57Iwh7PJxzvsNZlqNrxUB9aDwrWMwzEMS11w0bBZ/bp+s7ECEia2w9k4KJApSry4sl&#10;FtqfeE3DJhqRIBwKVGBj7AopQ23JYZj7jjh5X753GJPsjdQ9nhLctfImy3LpsOG0YLGjB0v19+bH&#10;KTi+Pdoq3w170+XmID9eJ/f+PCl1NRurexCRxngO/7dftIJb+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ImoLEAAAA2gAAAA8AAAAAAAAAAAAAAAAAmAIAAGRycy9k&#10;b3ducmV2LnhtbFBLBQYAAAAABAAEAPUAAACJAwAAAAA=&#10;" fillcolor="#bccbe2" stroked="f" strokeweight=".5pt">
                  <v:textbox inset="0,0,0,0">
                    <w:txbxContent>
                      <w:p w:rsidR="00EE4D23" w:rsidRDefault="00EE4D23" w:rsidP="00AA1A31">
                        <w:pPr>
                          <w:spacing w:before="0" w:after="0"/>
                          <w:jc w:val="center"/>
                        </w:pPr>
                        <w:r>
                          <w:t>JL MAG Rare-Earth Co., Ltd.</w:t>
                        </w:r>
                      </w:p>
                    </w:txbxContent>
                  </v:textbox>
                </v:shape>
                <v:shape id="文本框 6" o:spid="_x0000_s1031" type="#_x0000_t202" style="position:absolute;left:8014;top:7044;width:19795;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y308IA&#10;AADaAAAADwAAAGRycy9kb3ducmV2LnhtbESPQYvCMBSE74L/ITzBi6ypHrR0jeIKi3rwYN0f8LZ5&#10;NtXmpTRRu/9+Iwgeh5n5hlmsOluLO7W+cqxgMk5AEBdOV1wq+Dl9f6QgfEDWWDsmBX/kYbXs9xaY&#10;affgI93zUIoIYZ+hAhNCk0npC0MW/dg1xNE7u9ZiiLItpW7xEeG2ltMkmUmLFccFgw1tDBXX/GYV&#10;pKnfzMn/uvqyzXejPX1Njgej1HDQrT9BBOrCO/xq77SCGTyvxBs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LfTwgAAANoAAAAPAAAAAAAAAAAAAAAAAJgCAABkcnMvZG93&#10;bnJldi54bWxQSwUGAAAAAAQABAD1AAAAhwMAAAAA&#10;" fillcolor="white [3212]" stroked="f" strokeweight=".5pt">
                  <v:textbox inset="0,0,0,0">
                    <w:txbxContent>
                      <w:p w:rsidR="00EE4D23" w:rsidRDefault="00EE4D23" w:rsidP="00AA1A31">
                        <w:pPr>
                          <w:spacing w:before="0" w:after="0"/>
                          <w:jc w:val="center"/>
                        </w:pPr>
                        <w:r w:rsidRPr="00886D0A">
                          <w:t xml:space="preserve">Jiangxi </w:t>
                        </w:r>
                        <w:proofErr w:type="spellStart"/>
                        <w:r w:rsidRPr="00886D0A">
                          <w:t>Ruide</w:t>
                        </w:r>
                        <w:proofErr w:type="spellEnd"/>
                        <w:r w:rsidRPr="00886D0A">
                          <w:t xml:space="preserve"> Venture Capital Co., Ltd.</w:t>
                        </w:r>
                      </w:p>
                    </w:txbxContent>
                  </v:textbox>
                </v:shape>
              </v:group>
            </w:pict>
          </mc:Fallback>
        </mc:AlternateContent>
      </w:r>
      <w:r w:rsidRPr="006A53B7">
        <w:rPr>
          <w:noProof/>
          <w:sz w:val="24"/>
          <w:szCs w:val="24"/>
          <w:lang w:eastAsia="zh-CN"/>
        </w:rPr>
        <w:drawing>
          <wp:inline distT="0" distB="0" distL="0" distR="0" wp14:anchorId="6C9FDE68" wp14:editId="4C243983">
            <wp:extent cx="2866390" cy="1708785"/>
            <wp:effectExtent l="0" t="0" r="0" b="5715"/>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6390" cy="1708785"/>
                    </a:xfrm>
                    <a:prstGeom prst="rect">
                      <a:avLst/>
                    </a:prstGeom>
                    <a:noFill/>
                    <a:ln>
                      <a:noFill/>
                    </a:ln>
                  </pic:spPr>
                </pic:pic>
              </a:graphicData>
            </a:graphic>
          </wp:inline>
        </w:drawing>
      </w:r>
    </w:p>
    <w:p w:rsidR="00BA4227" w:rsidRPr="006A53B7" w:rsidRDefault="00BA4227" w:rsidP="00331CC2">
      <w:pPr>
        <w:pStyle w:val="Section"/>
        <w:outlineLvl w:val="2"/>
        <w:rPr>
          <w:bCs w:val="0"/>
          <w:sz w:val="24"/>
          <w:szCs w:val="24"/>
        </w:rPr>
      </w:pPr>
      <w:r w:rsidRPr="006A53B7">
        <w:rPr>
          <w:sz w:val="24"/>
          <w:szCs w:val="24"/>
        </w:rPr>
        <w:t>5. Bonds of the Company</w:t>
      </w:r>
    </w:p>
    <w:p w:rsidR="00BA4227" w:rsidRPr="006A53B7" w:rsidRDefault="00BA4227" w:rsidP="00331CC2">
      <w:pPr>
        <w:rPr>
          <w:sz w:val="24"/>
          <w:szCs w:val="24"/>
        </w:rPr>
      </w:pPr>
      <w:r w:rsidRPr="006A53B7">
        <w:rPr>
          <w:sz w:val="24"/>
          <w:szCs w:val="24"/>
        </w:rPr>
        <w:t>Whether the Company has any bonds publicly offered and listed in the stock exchange that have not matured at the approval date of disclosure of the Annual Report or failed to redeem in full at maturity</w:t>
      </w:r>
    </w:p>
    <w:p w:rsidR="00BA4227" w:rsidRPr="006A53B7" w:rsidRDefault="00BA4227" w:rsidP="00331CC2">
      <w:pPr>
        <w:rPr>
          <w:sz w:val="24"/>
          <w:szCs w:val="24"/>
        </w:rPr>
      </w:pPr>
      <w:r w:rsidRPr="006A53B7">
        <w:rPr>
          <w:sz w:val="24"/>
          <w:szCs w:val="24"/>
        </w:rPr>
        <w:t>Yes</w:t>
      </w:r>
    </w:p>
    <w:p w:rsidR="00BA4227" w:rsidRPr="006A53B7" w:rsidRDefault="00D320BF" w:rsidP="00331CC2">
      <w:pPr>
        <w:pStyle w:val="Section"/>
        <w:outlineLvl w:val="3"/>
        <w:rPr>
          <w:bCs w:val="0"/>
          <w:sz w:val="24"/>
          <w:szCs w:val="24"/>
        </w:rPr>
      </w:pPr>
      <w:r>
        <w:rPr>
          <w:rFonts w:hint="eastAsia"/>
          <w:sz w:val="24"/>
          <w:szCs w:val="24"/>
          <w:lang w:eastAsia="zh-CN"/>
        </w:rPr>
        <w:t>(1)</w:t>
      </w:r>
      <w:r w:rsidR="00BA4227" w:rsidRPr="006A53B7">
        <w:rPr>
          <w:sz w:val="24"/>
          <w:szCs w:val="24"/>
        </w:rPr>
        <w:t xml:space="preserve"> Basic information on the Company</w:t>
      </w:r>
      <w:r w:rsidR="0023423F" w:rsidRPr="006A53B7">
        <w:rPr>
          <w:sz w:val="24"/>
          <w:szCs w:val="24"/>
        </w:rPr>
        <w:t>’</w:t>
      </w:r>
      <w:r w:rsidR="00BA4227" w:rsidRPr="006A53B7">
        <w:rPr>
          <w:sz w:val="24"/>
          <w:szCs w:val="24"/>
        </w:rPr>
        <w:t>s bonds</w:t>
      </w:r>
    </w:p>
    <w:tbl>
      <w:tblPr>
        <w:tblW w:w="0" w:type="auto"/>
        <w:tblCellMar>
          <w:left w:w="28" w:type="dxa"/>
          <w:right w:w="28" w:type="dxa"/>
        </w:tblCellMar>
        <w:tblLook w:val="0000" w:firstRow="0" w:lastRow="0" w:firstColumn="0" w:lastColumn="0" w:noHBand="0" w:noVBand="0"/>
      </w:tblPr>
      <w:tblGrid>
        <w:gridCol w:w="1863"/>
        <w:gridCol w:w="906"/>
        <w:gridCol w:w="607"/>
        <w:gridCol w:w="900"/>
        <w:gridCol w:w="1424"/>
        <w:gridCol w:w="3928"/>
      </w:tblGrid>
      <w:tr w:rsidR="00BA4227" w:rsidRPr="006A53B7" w:rsidTr="00BA4227">
        <w:trPr>
          <w:cantSplit/>
        </w:trPr>
        <w:tc>
          <w:tcPr>
            <w:tcW w:w="0" w:type="auto"/>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Full name</w:t>
            </w:r>
          </w:p>
        </w:tc>
        <w:tc>
          <w:tcPr>
            <w:tcW w:w="625"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Short name</w:t>
            </w:r>
          </w:p>
        </w:tc>
        <w:tc>
          <w:tcPr>
            <w:tcW w:w="607"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Bond code</w:t>
            </w:r>
          </w:p>
        </w:tc>
        <w:tc>
          <w:tcPr>
            <w:tcW w:w="0" w:type="auto"/>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Maturity date</w:t>
            </w:r>
          </w:p>
        </w:tc>
        <w:tc>
          <w:tcPr>
            <w:tcW w:w="0" w:type="auto"/>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Bond balance (RMB10,000)</w:t>
            </w:r>
          </w:p>
        </w:tc>
        <w:tc>
          <w:tcPr>
            <w:tcW w:w="0" w:type="auto"/>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pPr>
            <w:r w:rsidRPr="006A53B7">
              <w:t>Interest rate</w:t>
            </w:r>
          </w:p>
        </w:tc>
      </w:tr>
      <w:tr w:rsidR="00BA4227" w:rsidRPr="006A53B7" w:rsidTr="00BA4227">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left"/>
            </w:pPr>
            <w:r w:rsidRPr="006A53B7">
              <w:lastRenderedPageBreak/>
              <w:t>Convertible bond of JL MAG Rare-Earth Co., Ltd.</w:t>
            </w:r>
          </w:p>
        </w:tc>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left"/>
            </w:pPr>
            <w:r w:rsidRPr="006A53B7">
              <w:t>JLMAG Convertible Bond</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left"/>
            </w:pPr>
            <w:r w:rsidRPr="006A53B7">
              <w:t>123033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left"/>
            </w:pPr>
            <w:r w:rsidRPr="006A53B7">
              <w:t xml:space="preserve">October </w:t>
            </w:r>
            <w:r w:rsidR="00A21B23" w:rsidRPr="006A53B7">
              <w:t xml:space="preserve">31, </w:t>
            </w:r>
            <w:r w:rsidRPr="006A53B7">
              <w:t xml:space="preserve">2025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right"/>
            </w:pPr>
            <w:r w:rsidRPr="006A53B7">
              <w:t>43,500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6A53B7" w:rsidRDefault="00BA4227" w:rsidP="00331CC2">
            <w:pPr>
              <w:jc w:val="left"/>
            </w:pPr>
            <w:r w:rsidRPr="006A53B7">
              <w:t>0.4% in the first year, 1.0% in the second year, 1.5% in the third year, 2.0% in the fourth year, 3.0% in the fifth year and 4.0% in the sixth year.</w:t>
            </w:r>
          </w:p>
        </w:tc>
      </w:tr>
      <w:tr w:rsidR="00BA4227" w:rsidRPr="006A53B7" w:rsidTr="00BA4227">
        <w:trPr>
          <w:cantSplit/>
        </w:trPr>
        <w:tc>
          <w:tcPr>
            <w:tcW w:w="3122"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pPr>
            <w:r w:rsidRPr="006A53B7">
              <w:t>Interest payment and principal redemption during the reporting period</w:t>
            </w:r>
          </w:p>
        </w:tc>
        <w:tc>
          <w:tcPr>
            <w:tcW w:w="6572" w:type="dxa"/>
            <w:gridSpan w:val="4"/>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left"/>
            </w:pPr>
            <w:r w:rsidRPr="006A53B7">
              <w:t>Not applicable</w:t>
            </w:r>
          </w:p>
        </w:tc>
      </w:tr>
    </w:tbl>
    <w:p w:rsidR="00BA4227" w:rsidRPr="006A53B7" w:rsidRDefault="00D320BF" w:rsidP="00331CC2">
      <w:pPr>
        <w:pStyle w:val="Section"/>
        <w:outlineLvl w:val="3"/>
        <w:rPr>
          <w:bCs w:val="0"/>
          <w:sz w:val="24"/>
          <w:szCs w:val="24"/>
        </w:rPr>
      </w:pPr>
      <w:r>
        <w:rPr>
          <w:rFonts w:hint="eastAsia"/>
          <w:sz w:val="24"/>
          <w:szCs w:val="24"/>
          <w:lang w:eastAsia="zh-CN"/>
        </w:rPr>
        <w:t>(2)</w:t>
      </w:r>
      <w:r w:rsidR="00BA4227" w:rsidRPr="006A53B7">
        <w:rPr>
          <w:sz w:val="24"/>
          <w:szCs w:val="24"/>
        </w:rPr>
        <w:t xml:space="preserve"> Latest rating of the Company</w:t>
      </w:r>
      <w:r w:rsidR="0023423F" w:rsidRPr="006A53B7">
        <w:rPr>
          <w:sz w:val="24"/>
          <w:szCs w:val="24"/>
        </w:rPr>
        <w:t>’</w:t>
      </w:r>
      <w:r w:rsidR="00BA4227" w:rsidRPr="006A53B7">
        <w:rPr>
          <w:sz w:val="24"/>
          <w:szCs w:val="24"/>
        </w:rPr>
        <w:t>s bonds and rating changes</w:t>
      </w:r>
    </w:p>
    <w:p w:rsidR="00BA4227" w:rsidRPr="006A53B7" w:rsidRDefault="00BA4227" w:rsidP="00331CC2">
      <w:pPr>
        <w:spacing w:before="0" w:after="0" w:line="360" w:lineRule="auto"/>
        <w:rPr>
          <w:sz w:val="24"/>
          <w:szCs w:val="24"/>
        </w:rPr>
      </w:pPr>
      <w:r w:rsidRPr="006A53B7">
        <w:rPr>
          <w:sz w:val="24"/>
          <w:szCs w:val="24"/>
        </w:rPr>
        <w:t xml:space="preserve">On March </w:t>
      </w:r>
      <w:r w:rsidR="00A21B23" w:rsidRPr="006A53B7">
        <w:rPr>
          <w:sz w:val="24"/>
          <w:szCs w:val="24"/>
        </w:rPr>
        <w:t xml:space="preserve">20, </w:t>
      </w:r>
      <w:r w:rsidRPr="006A53B7">
        <w:rPr>
          <w:sz w:val="24"/>
          <w:szCs w:val="24"/>
        </w:rPr>
        <w:t xml:space="preserve">2019, CSCI </w:t>
      </w:r>
      <w:proofErr w:type="spellStart"/>
      <w:r w:rsidRPr="006A53B7">
        <w:rPr>
          <w:sz w:val="24"/>
          <w:szCs w:val="24"/>
        </w:rPr>
        <w:t>Pengyuan</w:t>
      </w:r>
      <w:proofErr w:type="spellEnd"/>
      <w:r w:rsidRPr="006A53B7">
        <w:rPr>
          <w:sz w:val="24"/>
          <w:szCs w:val="24"/>
        </w:rPr>
        <w:t xml:space="preserve"> Credit Rating Co., Ltd. issued the </w:t>
      </w:r>
      <w:r w:rsidRPr="006A53B7">
        <w:rPr>
          <w:i/>
          <w:sz w:val="24"/>
          <w:szCs w:val="24"/>
        </w:rPr>
        <w:t xml:space="preserve">Credit Rating Report on Convertible Bonds Publicly Issued by </w:t>
      </w:r>
      <w:r w:rsidR="00195399">
        <w:rPr>
          <w:i/>
          <w:sz w:val="24"/>
          <w:szCs w:val="24"/>
        </w:rPr>
        <w:t>JL MAG Rare-Earth Co., Ltd.</w:t>
      </w:r>
      <w:r w:rsidRPr="006A53B7">
        <w:rPr>
          <w:i/>
          <w:sz w:val="24"/>
          <w:szCs w:val="24"/>
        </w:rPr>
        <w:t xml:space="preserve"> in 2019 </w:t>
      </w:r>
      <w:r w:rsidRPr="006A53B7">
        <w:rPr>
          <w:sz w:val="24"/>
          <w:szCs w:val="24"/>
        </w:rPr>
        <w:t>(ZH.P.X.P. [2019] No. Z.80.01), granting a long-term credit rating of AA- to the Company and a credit rating of AA- to the Company</w:t>
      </w:r>
      <w:r w:rsidR="0023423F" w:rsidRPr="006A53B7">
        <w:rPr>
          <w:sz w:val="24"/>
          <w:szCs w:val="24"/>
        </w:rPr>
        <w:t>’</w:t>
      </w:r>
      <w:r w:rsidRPr="006A53B7">
        <w:rPr>
          <w:sz w:val="24"/>
          <w:szCs w:val="24"/>
        </w:rPr>
        <w:t xml:space="preserve">s convertible bonds, with a Stable outlook. CSCI </w:t>
      </w:r>
      <w:proofErr w:type="spellStart"/>
      <w:r w:rsidRPr="006A53B7">
        <w:rPr>
          <w:sz w:val="24"/>
          <w:szCs w:val="24"/>
        </w:rPr>
        <w:t>Pengyuan</w:t>
      </w:r>
      <w:proofErr w:type="spellEnd"/>
      <w:r w:rsidRPr="006A53B7">
        <w:rPr>
          <w:sz w:val="24"/>
          <w:szCs w:val="24"/>
        </w:rPr>
        <w:t xml:space="preserve"> Credit Rating Co., Ltd. is required to monitor the rating on a regular basis or from time to time during the duration of the bonds. And the Company will publish the </w:t>
      </w:r>
      <w:r w:rsidR="00FB222B" w:rsidRPr="006A53B7">
        <w:rPr>
          <w:sz w:val="24"/>
          <w:szCs w:val="24"/>
        </w:rPr>
        <w:t xml:space="preserve">complete </w:t>
      </w:r>
      <w:r w:rsidRPr="006A53B7">
        <w:rPr>
          <w:sz w:val="24"/>
          <w:szCs w:val="24"/>
        </w:rPr>
        <w:t xml:space="preserve">text of rating monitor reports on the </w:t>
      </w:r>
      <w:proofErr w:type="spellStart"/>
      <w:r w:rsidRPr="006A53B7">
        <w:rPr>
          <w:sz w:val="24"/>
          <w:szCs w:val="24"/>
        </w:rPr>
        <w:t>ChiNEXT</w:t>
      </w:r>
      <w:proofErr w:type="spellEnd"/>
      <w:r w:rsidRPr="006A53B7">
        <w:rPr>
          <w:sz w:val="24"/>
          <w:szCs w:val="24"/>
        </w:rPr>
        <w:t xml:space="preserve"> information disclosure website (www.cninfo.com.cn) designated by the CSRC.</w:t>
      </w:r>
    </w:p>
    <w:p w:rsidR="00BA4227" w:rsidRPr="006A53B7" w:rsidRDefault="00D320BF" w:rsidP="00331CC2">
      <w:pPr>
        <w:pStyle w:val="Section"/>
        <w:outlineLvl w:val="3"/>
        <w:rPr>
          <w:bCs w:val="0"/>
          <w:sz w:val="24"/>
          <w:szCs w:val="24"/>
        </w:rPr>
      </w:pPr>
      <w:r>
        <w:rPr>
          <w:rFonts w:hint="eastAsia"/>
          <w:sz w:val="24"/>
          <w:szCs w:val="24"/>
          <w:lang w:eastAsia="zh-CN"/>
        </w:rPr>
        <w:t>(3)</w:t>
      </w:r>
      <w:r w:rsidR="00BA4227" w:rsidRPr="006A53B7">
        <w:rPr>
          <w:sz w:val="24"/>
          <w:szCs w:val="24"/>
        </w:rPr>
        <w:t xml:space="preserve"> </w:t>
      </w:r>
      <w:r w:rsidR="00A0546E">
        <w:rPr>
          <w:sz w:val="24"/>
          <w:szCs w:val="24"/>
        </w:rPr>
        <w:t>Key</w:t>
      </w:r>
      <w:r w:rsidR="00A0546E" w:rsidRPr="006A53B7">
        <w:rPr>
          <w:sz w:val="24"/>
          <w:szCs w:val="24"/>
        </w:rPr>
        <w:t xml:space="preserve"> </w:t>
      </w:r>
      <w:r w:rsidR="00BA4227" w:rsidRPr="006A53B7">
        <w:rPr>
          <w:sz w:val="24"/>
          <w:szCs w:val="24"/>
        </w:rPr>
        <w:t xml:space="preserve">accounting data and financial indicators for the </w:t>
      </w:r>
      <w:r w:rsidR="00EE4D23">
        <w:rPr>
          <w:sz w:val="24"/>
          <w:szCs w:val="24"/>
        </w:rPr>
        <w:t xml:space="preserve">last </w:t>
      </w:r>
      <w:r w:rsidR="00BA4227" w:rsidRPr="006A53B7">
        <w:rPr>
          <w:sz w:val="24"/>
          <w:szCs w:val="24"/>
        </w:rPr>
        <w:t>two years before the end of the reporting period</w:t>
      </w:r>
    </w:p>
    <w:p w:rsidR="00BA4227" w:rsidRPr="006A53B7" w:rsidRDefault="00BA4227" w:rsidP="00331CC2">
      <w:pPr>
        <w:jc w:val="right"/>
        <w:rPr>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392"/>
        <w:gridCol w:w="2392"/>
        <w:gridCol w:w="2392"/>
        <w:gridCol w:w="2392"/>
      </w:tblGrid>
      <w:tr w:rsidR="00BA4227" w:rsidRPr="006A53B7">
        <w:trPr>
          <w:cantSplit/>
        </w:trPr>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rPr>
                <w:sz w:val="24"/>
                <w:szCs w:val="24"/>
              </w:rPr>
            </w:pPr>
            <w:r w:rsidRPr="006A53B7">
              <w:rPr>
                <w:sz w:val="24"/>
                <w:szCs w:val="24"/>
              </w:rPr>
              <w:t>Item</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rPr>
                <w:sz w:val="24"/>
                <w:szCs w:val="24"/>
              </w:rPr>
            </w:pPr>
            <w:r w:rsidRPr="006A53B7">
              <w:rPr>
                <w:sz w:val="24"/>
                <w:szCs w:val="24"/>
              </w:rPr>
              <w:t>2019</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rPr>
                <w:sz w:val="24"/>
                <w:szCs w:val="24"/>
              </w:rPr>
            </w:pPr>
            <w:r w:rsidRPr="006A53B7">
              <w:rPr>
                <w:sz w:val="24"/>
                <w:szCs w:val="24"/>
              </w:rPr>
              <w:t>2018</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center"/>
              <w:rPr>
                <w:sz w:val="24"/>
                <w:szCs w:val="24"/>
              </w:rPr>
            </w:pPr>
            <w:r w:rsidRPr="006A53B7">
              <w:rPr>
                <w:sz w:val="24"/>
                <w:szCs w:val="24"/>
              </w:rPr>
              <w:t>Change during the period (%)</w:t>
            </w:r>
          </w:p>
        </w:tc>
      </w:tr>
      <w:tr w:rsidR="00BA4227" w:rsidRPr="006A53B7">
        <w:trPr>
          <w:cantSplit/>
        </w:trPr>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rPr>
                <w:sz w:val="24"/>
                <w:szCs w:val="24"/>
              </w:rPr>
            </w:pPr>
            <w:r w:rsidRPr="006A53B7">
              <w:rPr>
                <w:sz w:val="24"/>
                <w:szCs w:val="24"/>
              </w:rPr>
              <w:t>Asset-liability ratio (%)</w:t>
            </w:r>
          </w:p>
        </w:tc>
        <w:tc>
          <w:tcPr>
            <w:tcW w:w="2392"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rPr>
                <w:sz w:val="24"/>
                <w:szCs w:val="24"/>
              </w:rPr>
            </w:pPr>
            <w:r w:rsidRPr="006A53B7">
              <w:rPr>
                <w:sz w:val="24"/>
                <w:szCs w:val="24"/>
              </w:rPr>
              <w:t>52.93%</w:t>
            </w:r>
          </w:p>
        </w:tc>
        <w:tc>
          <w:tcPr>
            <w:tcW w:w="2392"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rPr>
                <w:sz w:val="24"/>
                <w:szCs w:val="24"/>
              </w:rPr>
            </w:pPr>
            <w:r w:rsidRPr="006A53B7">
              <w:rPr>
                <w:sz w:val="24"/>
                <w:szCs w:val="24"/>
              </w:rPr>
              <w:t>46.49%</w:t>
            </w:r>
          </w:p>
        </w:tc>
        <w:tc>
          <w:tcPr>
            <w:tcW w:w="2392"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rPr>
                <w:sz w:val="24"/>
                <w:szCs w:val="24"/>
              </w:rPr>
            </w:pPr>
            <w:r w:rsidRPr="006A53B7">
              <w:rPr>
                <w:sz w:val="24"/>
                <w:szCs w:val="24"/>
              </w:rPr>
              <w:t>6.44%</w:t>
            </w:r>
          </w:p>
        </w:tc>
      </w:tr>
      <w:tr w:rsidR="00BA4227" w:rsidRPr="006A53B7">
        <w:trPr>
          <w:cantSplit/>
        </w:trPr>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rPr>
                <w:sz w:val="24"/>
                <w:szCs w:val="24"/>
              </w:rPr>
            </w:pPr>
            <w:r w:rsidRPr="006A53B7">
              <w:rPr>
                <w:sz w:val="24"/>
                <w:szCs w:val="24"/>
              </w:rPr>
              <w:t>EBITDA/total liabilities</w:t>
            </w:r>
          </w:p>
        </w:tc>
        <w:tc>
          <w:tcPr>
            <w:tcW w:w="2392"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rPr>
                <w:sz w:val="24"/>
                <w:szCs w:val="24"/>
              </w:rPr>
            </w:pPr>
            <w:r w:rsidRPr="006A53B7">
              <w:rPr>
                <w:sz w:val="24"/>
                <w:szCs w:val="24"/>
              </w:rPr>
              <w:t>17.62%</w:t>
            </w:r>
          </w:p>
        </w:tc>
        <w:tc>
          <w:tcPr>
            <w:tcW w:w="2392"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rPr>
                <w:sz w:val="24"/>
                <w:szCs w:val="24"/>
              </w:rPr>
            </w:pPr>
            <w:r w:rsidRPr="006A53B7">
              <w:rPr>
                <w:sz w:val="24"/>
                <w:szCs w:val="24"/>
              </w:rPr>
              <w:t>22.82%</w:t>
            </w:r>
          </w:p>
        </w:tc>
        <w:tc>
          <w:tcPr>
            <w:tcW w:w="2392"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rPr>
                <w:sz w:val="24"/>
                <w:szCs w:val="24"/>
              </w:rPr>
            </w:pPr>
            <w:r w:rsidRPr="006A53B7">
              <w:rPr>
                <w:sz w:val="24"/>
                <w:szCs w:val="24"/>
              </w:rPr>
              <w:t>-5.20%</w:t>
            </w:r>
          </w:p>
        </w:tc>
      </w:tr>
      <w:tr w:rsidR="00BA4227" w:rsidRPr="006A53B7">
        <w:trPr>
          <w:cantSplit/>
        </w:trPr>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6A53B7" w:rsidRDefault="00BA4227" w:rsidP="00331CC2">
            <w:pPr>
              <w:jc w:val="left"/>
              <w:rPr>
                <w:sz w:val="24"/>
                <w:szCs w:val="24"/>
              </w:rPr>
            </w:pPr>
            <w:r w:rsidRPr="006A53B7">
              <w:rPr>
                <w:sz w:val="24"/>
                <w:szCs w:val="24"/>
              </w:rPr>
              <w:t>Interest coverage ratio</w:t>
            </w:r>
          </w:p>
        </w:tc>
        <w:tc>
          <w:tcPr>
            <w:tcW w:w="2392"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rPr>
                <w:sz w:val="24"/>
                <w:szCs w:val="24"/>
              </w:rPr>
            </w:pPr>
            <w:r w:rsidRPr="006A53B7">
              <w:rPr>
                <w:sz w:val="24"/>
                <w:szCs w:val="24"/>
              </w:rPr>
              <w:t>5.71</w:t>
            </w:r>
          </w:p>
        </w:tc>
        <w:tc>
          <w:tcPr>
            <w:tcW w:w="2392"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rPr>
                <w:sz w:val="24"/>
                <w:szCs w:val="24"/>
              </w:rPr>
            </w:pPr>
            <w:r w:rsidRPr="006A53B7">
              <w:rPr>
                <w:sz w:val="24"/>
                <w:szCs w:val="24"/>
              </w:rPr>
              <w:t>7.73</w:t>
            </w:r>
          </w:p>
        </w:tc>
        <w:tc>
          <w:tcPr>
            <w:tcW w:w="2392" w:type="dxa"/>
            <w:tcBorders>
              <w:top w:val="single" w:sz="4" w:space="0" w:color="auto"/>
              <w:left w:val="single" w:sz="4" w:space="0" w:color="auto"/>
              <w:bottom w:val="single" w:sz="4" w:space="0" w:color="auto"/>
              <w:right w:val="single" w:sz="4" w:space="0" w:color="auto"/>
            </w:tcBorders>
            <w:vAlign w:val="center"/>
          </w:tcPr>
          <w:p w:rsidR="00BA4227" w:rsidRPr="006A53B7" w:rsidRDefault="00BA4227" w:rsidP="00331CC2">
            <w:pPr>
              <w:jc w:val="right"/>
              <w:rPr>
                <w:sz w:val="24"/>
                <w:szCs w:val="24"/>
              </w:rPr>
            </w:pPr>
            <w:r w:rsidRPr="006A53B7">
              <w:rPr>
                <w:sz w:val="24"/>
                <w:szCs w:val="24"/>
              </w:rPr>
              <w:t>-26.10%</w:t>
            </w:r>
          </w:p>
        </w:tc>
      </w:tr>
    </w:tbl>
    <w:p w:rsidR="00BA4227" w:rsidRPr="006A53B7" w:rsidRDefault="00BA4227" w:rsidP="00331CC2">
      <w:pPr>
        <w:pStyle w:val="Chapter"/>
        <w:outlineLvl w:val="1"/>
        <w:rPr>
          <w:bCs w:val="0"/>
        </w:rPr>
      </w:pPr>
      <w:r w:rsidRPr="006A53B7">
        <w:t xml:space="preserve">III. </w:t>
      </w:r>
      <w:r w:rsidR="00AC709C">
        <w:t>PERFORMANCE</w:t>
      </w:r>
      <w:r w:rsidR="00AC709C" w:rsidRPr="006A53B7">
        <w:t xml:space="preserve"> </w:t>
      </w:r>
      <w:r w:rsidRPr="006A53B7">
        <w:t xml:space="preserve">DISCUSSION AND ANALYSIS  </w:t>
      </w:r>
    </w:p>
    <w:p w:rsidR="00BA4227" w:rsidRPr="006A53B7" w:rsidRDefault="00BA4227" w:rsidP="00331CC2">
      <w:pPr>
        <w:pStyle w:val="Section"/>
        <w:outlineLvl w:val="2"/>
        <w:rPr>
          <w:bCs w:val="0"/>
          <w:sz w:val="24"/>
          <w:szCs w:val="24"/>
        </w:rPr>
      </w:pPr>
      <w:r w:rsidRPr="006A53B7">
        <w:rPr>
          <w:sz w:val="24"/>
          <w:szCs w:val="24"/>
        </w:rPr>
        <w:t xml:space="preserve">1. </w:t>
      </w:r>
      <w:r w:rsidR="00AC709C">
        <w:rPr>
          <w:sz w:val="24"/>
          <w:szCs w:val="24"/>
        </w:rPr>
        <w:t>Statement of</w:t>
      </w:r>
      <w:r w:rsidR="00AC709C" w:rsidRPr="006A53B7">
        <w:rPr>
          <w:sz w:val="24"/>
          <w:szCs w:val="24"/>
        </w:rPr>
        <w:t xml:space="preserve"> </w:t>
      </w:r>
      <w:r w:rsidRPr="006A53B7">
        <w:rPr>
          <w:sz w:val="24"/>
          <w:szCs w:val="24"/>
        </w:rPr>
        <w:t>operation during the reporting period</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On May </w:t>
      </w:r>
      <w:r w:rsidR="00FB222B" w:rsidRPr="006A53B7">
        <w:rPr>
          <w:sz w:val="24"/>
          <w:szCs w:val="24"/>
        </w:rPr>
        <w:t xml:space="preserve">20, </w:t>
      </w:r>
      <w:r w:rsidRPr="006A53B7">
        <w:rPr>
          <w:sz w:val="24"/>
          <w:szCs w:val="24"/>
        </w:rPr>
        <w:t xml:space="preserve">2019, Xi Jinping, General Secretary of the Communist Party of China, visited the Company immediately after he arrived </w:t>
      </w:r>
      <w:r w:rsidR="0002603B">
        <w:rPr>
          <w:sz w:val="24"/>
          <w:szCs w:val="24"/>
        </w:rPr>
        <w:t>at</w:t>
      </w:r>
      <w:r w:rsidRPr="006A53B7">
        <w:rPr>
          <w:sz w:val="24"/>
          <w:szCs w:val="24"/>
        </w:rPr>
        <w:t xml:space="preserve"> Jiangxi </w:t>
      </w:r>
      <w:r w:rsidR="0002603B">
        <w:rPr>
          <w:sz w:val="24"/>
          <w:szCs w:val="24"/>
        </w:rPr>
        <w:t xml:space="preserve">Province </w:t>
      </w:r>
      <w:r w:rsidRPr="006A53B7">
        <w:rPr>
          <w:sz w:val="24"/>
          <w:szCs w:val="24"/>
        </w:rPr>
        <w:t xml:space="preserve">for an </w:t>
      </w:r>
      <w:r w:rsidR="0002603B">
        <w:rPr>
          <w:sz w:val="24"/>
          <w:szCs w:val="24"/>
        </w:rPr>
        <w:t>investigation</w:t>
      </w:r>
      <w:r w:rsidR="0002603B" w:rsidRPr="006A53B7">
        <w:rPr>
          <w:sz w:val="24"/>
          <w:szCs w:val="24"/>
        </w:rPr>
        <w:t xml:space="preserve"> </w:t>
      </w:r>
      <w:r w:rsidRPr="006A53B7">
        <w:rPr>
          <w:sz w:val="24"/>
          <w:szCs w:val="24"/>
        </w:rPr>
        <w:t>tour. At the Company, Xi learned about its production and operation, and the rare earth industry</w:t>
      </w:r>
      <w:r w:rsidR="0023423F" w:rsidRPr="006A53B7">
        <w:rPr>
          <w:sz w:val="24"/>
          <w:szCs w:val="24"/>
        </w:rPr>
        <w:t>’</w:t>
      </w:r>
      <w:r w:rsidRPr="006A53B7">
        <w:rPr>
          <w:sz w:val="24"/>
          <w:szCs w:val="24"/>
        </w:rPr>
        <w:t xml:space="preserve">s development in </w:t>
      </w:r>
      <w:proofErr w:type="spellStart"/>
      <w:r w:rsidRPr="006A53B7">
        <w:rPr>
          <w:sz w:val="24"/>
          <w:szCs w:val="24"/>
        </w:rPr>
        <w:t>Ganzhou</w:t>
      </w:r>
      <w:proofErr w:type="spellEnd"/>
      <w:r w:rsidRPr="006A53B7">
        <w:rPr>
          <w:sz w:val="24"/>
          <w:szCs w:val="24"/>
        </w:rPr>
        <w:t xml:space="preserve">. He </w:t>
      </w:r>
      <w:r w:rsidR="001E0D40" w:rsidRPr="001E0D40">
        <w:rPr>
          <w:sz w:val="24"/>
          <w:szCs w:val="24"/>
        </w:rPr>
        <w:t>emphasize</w:t>
      </w:r>
      <w:r w:rsidR="001E0D40">
        <w:rPr>
          <w:sz w:val="24"/>
          <w:szCs w:val="24"/>
        </w:rPr>
        <w:t>d</w:t>
      </w:r>
      <w:r w:rsidRPr="006A53B7">
        <w:rPr>
          <w:sz w:val="24"/>
          <w:szCs w:val="24"/>
        </w:rPr>
        <w:t xml:space="preserve"> that rare earth is </w:t>
      </w:r>
      <w:r w:rsidR="001E0D40" w:rsidRPr="001E0D40">
        <w:rPr>
          <w:sz w:val="24"/>
          <w:szCs w:val="24"/>
        </w:rPr>
        <w:t xml:space="preserve">significant </w:t>
      </w:r>
      <w:r w:rsidRPr="006A53B7">
        <w:rPr>
          <w:sz w:val="24"/>
          <w:szCs w:val="24"/>
        </w:rPr>
        <w:t xml:space="preserve">strategic </w:t>
      </w:r>
      <w:r w:rsidR="001E0D40">
        <w:rPr>
          <w:sz w:val="24"/>
          <w:szCs w:val="24"/>
        </w:rPr>
        <w:t>resource</w:t>
      </w:r>
      <w:r w:rsidR="001E0D40" w:rsidRPr="006A53B7">
        <w:rPr>
          <w:sz w:val="24"/>
          <w:szCs w:val="24"/>
        </w:rPr>
        <w:t xml:space="preserve"> </w:t>
      </w:r>
      <w:r w:rsidR="00FB222B" w:rsidRPr="006A53B7">
        <w:rPr>
          <w:sz w:val="24"/>
          <w:szCs w:val="24"/>
        </w:rPr>
        <w:t xml:space="preserve">yet </w:t>
      </w:r>
      <w:r w:rsidRPr="006A53B7">
        <w:rPr>
          <w:sz w:val="24"/>
          <w:szCs w:val="24"/>
        </w:rPr>
        <w:t>nonrenewable, and called for strengthening scientific and technological innovation to raise the technological level of rare earth exploitation, extending the industrial chain, increasing the value-added, and stepping up environmental protection of projects to achieve green growth and sustainable development.</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In 2019, under the guidance of the development strategy formulated by the Board of Directors, the management led all the employees of the Company to pool in efforts and forge ahead. Against the adverse impact of </w:t>
      </w:r>
      <w:r w:rsidR="0097588D">
        <w:rPr>
          <w:sz w:val="24"/>
          <w:szCs w:val="24"/>
        </w:rPr>
        <w:t>declining</w:t>
      </w:r>
      <w:r w:rsidR="0097588D" w:rsidRPr="006A53B7">
        <w:rPr>
          <w:sz w:val="24"/>
          <w:szCs w:val="24"/>
        </w:rPr>
        <w:t xml:space="preserve"> </w:t>
      </w:r>
      <w:r w:rsidRPr="006A53B7">
        <w:rPr>
          <w:sz w:val="24"/>
          <w:szCs w:val="24"/>
        </w:rPr>
        <w:t xml:space="preserve">sales in traditional vehicle and new energy vehicle sectors, the Company </w:t>
      </w:r>
      <w:r w:rsidRPr="006A53B7">
        <w:rPr>
          <w:sz w:val="24"/>
          <w:szCs w:val="24"/>
        </w:rPr>
        <w:lastRenderedPageBreak/>
        <w:t xml:space="preserve">reported a two-year substantial growth in sales and could produce 10,000 tons of sintered </w:t>
      </w:r>
      <w:proofErr w:type="spellStart"/>
      <w:r w:rsidRPr="006A53B7">
        <w:rPr>
          <w:sz w:val="24"/>
          <w:szCs w:val="24"/>
        </w:rPr>
        <w:t>NdFeB</w:t>
      </w:r>
      <w:proofErr w:type="spellEnd"/>
      <w:r w:rsidRPr="006A53B7">
        <w:rPr>
          <w:sz w:val="24"/>
          <w:szCs w:val="24"/>
        </w:rPr>
        <w:t xml:space="preserve"> magnet materials (blank). What</w:t>
      </w:r>
      <w:r w:rsidR="0023423F" w:rsidRPr="006A53B7">
        <w:rPr>
          <w:sz w:val="24"/>
          <w:szCs w:val="24"/>
        </w:rPr>
        <w:t>’</w:t>
      </w:r>
      <w:r w:rsidRPr="006A53B7">
        <w:rPr>
          <w:sz w:val="24"/>
          <w:szCs w:val="24"/>
        </w:rPr>
        <w:t>s more, it further increased the market share, significantly optimized the customer structure, witnessed an evident growth in export earnings, further improved technologies, quality and management capabilities, and performed well in the capital market. The management beefed up solidarity, and the Company sharply boosted core competitiveness on a whole.</w:t>
      </w:r>
    </w:p>
    <w:p w:rsidR="00BA4227" w:rsidRPr="006A53B7" w:rsidRDefault="00BA4227" w:rsidP="00331CC2">
      <w:pPr>
        <w:autoSpaceDE w:val="0"/>
        <w:autoSpaceDN w:val="0"/>
        <w:adjustRightInd w:val="0"/>
        <w:spacing w:before="0" w:after="0" w:line="360" w:lineRule="auto"/>
        <w:rPr>
          <w:sz w:val="24"/>
          <w:szCs w:val="24"/>
        </w:rPr>
      </w:pPr>
      <w:r w:rsidRPr="0029184B">
        <w:rPr>
          <w:sz w:val="24"/>
          <w:szCs w:val="24"/>
        </w:rPr>
        <w:t>During the reporting period, the Company realized an operating income of RMB1</w:t>
      </w:r>
      <w:proofErr w:type="gramStart"/>
      <w:r w:rsidRPr="0029184B">
        <w:rPr>
          <w:sz w:val="24"/>
          <w:szCs w:val="24"/>
        </w:rPr>
        <w:t>,696,838,500</w:t>
      </w:r>
      <w:proofErr w:type="gramEnd"/>
      <w:r w:rsidRPr="0029184B">
        <w:rPr>
          <w:sz w:val="24"/>
          <w:szCs w:val="24"/>
        </w:rPr>
        <w:t>, up 31.61%</w:t>
      </w:r>
      <w:r w:rsidR="00266B8D">
        <w:rPr>
          <w:sz w:val="24"/>
          <w:szCs w:val="24"/>
        </w:rPr>
        <w:t>YoY</w:t>
      </w:r>
      <w:r w:rsidRPr="0029184B">
        <w:rPr>
          <w:sz w:val="24"/>
          <w:szCs w:val="24"/>
        </w:rPr>
        <w:t>. This included earnings of RMB281</w:t>
      </w:r>
      <w:proofErr w:type="gramStart"/>
      <w:r w:rsidRPr="0029184B">
        <w:rPr>
          <w:sz w:val="24"/>
          <w:szCs w:val="24"/>
        </w:rPr>
        <w:t>,262,800</w:t>
      </w:r>
      <w:proofErr w:type="gramEnd"/>
      <w:r w:rsidRPr="0029184B">
        <w:rPr>
          <w:sz w:val="24"/>
          <w:szCs w:val="24"/>
        </w:rPr>
        <w:t xml:space="preserve"> from exports, up 58.65% </w:t>
      </w:r>
      <w:r w:rsidR="00266B8D">
        <w:rPr>
          <w:sz w:val="24"/>
          <w:szCs w:val="24"/>
        </w:rPr>
        <w:t>YoY</w:t>
      </w:r>
      <w:r w:rsidRPr="0029184B">
        <w:rPr>
          <w:sz w:val="24"/>
          <w:szCs w:val="24"/>
        </w:rPr>
        <w:t xml:space="preserve">; the Company </w:t>
      </w:r>
      <w:r w:rsidR="00431C0D" w:rsidRPr="0029184B">
        <w:rPr>
          <w:sz w:val="24"/>
          <w:szCs w:val="24"/>
        </w:rPr>
        <w:t xml:space="preserve">generated </w:t>
      </w:r>
      <w:r w:rsidRPr="0029184B">
        <w:rPr>
          <w:sz w:val="24"/>
          <w:szCs w:val="24"/>
        </w:rPr>
        <w:t xml:space="preserve">a net profit attributable to </w:t>
      </w:r>
      <w:r w:rsidR="00266B8D">
        <w:rPr>
          <w:sz w:val="24"/>
          <w:szCs w:val="24"/>
        </w:rPr>
        <w:t>share</w:t>
      </w:r>
      <w:r w:rsidRPr="0029184B">
        <w:rPr>
          <w:sz w:val="24"/>
          <w:szCs w:val="24"/>
        </w:rPr>
        <w:t xml:space="preserve">holders of the company of RMB156,880,200, up 6.58% </w:t>
      </w:r>
      <w:r w:rsidR="00266B8D">
        <w:rPr>
          <w:sz w:val="24"/>
          <w:szCs w:val="24"/>
        </w:rPr>
        <w:t>YoY</w:t>
      </w:r>
      <w:r w:rsidRPr="0029184B">
        <w:rPr>
          <w:sz w:val="24"/>
          <w:szCs w:val="24"/>
        </w:rPr>
        <w:t xml:space="preserve">; the Company posted a net profit attributable to </w:t>
      </w:r>
      <w:r w:rsidR="00266B8D">
        <w:rPr>
          <w:sz w:val="24"/>
          <w:szCs w:val="24"/>
        </w:rPr>
        <w:t>share</w:t>
      </w:r>
      <w:r w:rsidRPr="0029184B">
        <w:rPr>
          <w:sz w:val="24"/>
          <w:szCs w:val="24"/>
        </w:rPr>
        <w:t xml:space="preserve">holders of the company </w:t>
      </w:r>
      <w:r w:rsidR="00266B8D">
        <w:rPr>
          <w:sz w:val="24"/>
          <w:szCs w:val="24"/>
        </w:rPr>
        <w:t>net of nonrecurring profit or loss</w:t>
      </w:r>
      <w:r w:rsidRPr="0029184B">
        <w:rPr>
          <w:sz w:val="24"/>
          <w:szCs w:val="24"/>
        </w:rPr>
        <w:t xml:space="preserve"> at </w:t>
      </w:r>
      <w:r w:rsidR="0029184B" w:rsidRPr="0029184B">
        <w:rPr>
          <w:sz w:val="24"/>
          <w:szCs w:val="24"/>
        </w:rPr>
        <w:t>RMB14</w:t>
      </w:r>
      <w:r w:rsidRPr="0029184B">
        <w:rPr>
          <w:sz w:val="24"/>
          <w:szCs w:val="24"/>
        </w:rPr>
        <w:t>6</w:t>
      </w:r>
      <w:r w:rsidR="0029184B" w:rsidRPr="0029184B">
        <w:rPr>
          <w:rFonts w:hint="eastAsia"/>
          <w:sz w:val="24"/>
          <w:szCs w:val="24"/>
          <w:lang w:eastAsia="zh-CN"/>
        </w:rPr>
        <w:t>,</w:t>
      </w:r>
      <w:r w:rsidR="0029184B" w:rsidRPr="0029184B">
        <w:rPr>
          <w:sz w:val="24"/>
          <w:szCs w:val="24"/>
        </w:rPr>
        <w:t>83</w:t>
      </w:r>
      <w:r w:rsidR="0029184B" w:rsidRPr="0029184B">
        <w:rPr>
          <w:rFonts w:hint="eastAsia"/>
          <w:sz w:val="24"/>
          <w:szCs w:val="24"/>
          <w:lang w:eastAsia="zh-CN"/>
        </w:rPr>
        <w:t>8,</w:t>
      </w:r>
      <w:r w:rsidRPr="0029184B">
        <w:rPr>
          <w:sz w:val="24"/>
          <w:szCs w:val="24"/>
        </w:rPr>
        <w:t xml:space="preserve">400, up 38.79% </w:t>
      </w:r>
      <w:r w:rsidR="00266B8D">
        <w:rPr>
          <w:sz w:val="24"/>
          <w:szCs w:val="24"/>
        </w:rPr>
        <w:t>YoY</w:t>
      </w:r>
      <w:r w:rsidRPr="0029184B">
        <w:rPr>
          <w:sz w:val="24"/>
          <w:szCs w:val="24"/>
        </w:rPr>
        <w:t>.</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Thanks to the rise </w:t>
      </w:r>
      <w:r w:rsidR="007C7AF3" w:rsidRPr="006A53B7">
        <w:rPr>
          <w:sz w:val="24"/>
          <w:szCs w:val="24"/>
        </w:rPr>
        <w:t xml:space="preserve">of </w:t>
      </w:r>
      <w:r w:rsidRPr="006A53B7">
        <w:rPr>
          <w:sz w:val="24"/>
          <w:szCs w:val="24"/>
        </w:rPr>
        <w:t>demand in China</w:t>
      </w:r>
      <w:r w:rsidR="0023423F" w:rsidRPr="006A53B7">
        <w:rPr>
          <w:sz w:val="24"/>
          <w:szCs w:val="24"/>
        </w:rPr>
        <w:t>’</w:t>
      </w:r>
      <w:r w:rsidRPr="006A53B7">
        <w:rPr>
          <w:sz w:val="24"/>
          <w:szCs w:val="24"/>
        </w:rPr>
        <w:t>s wind power industry and the growth of the Company</w:t>
      </w:r>
      <w:r w:rsidR="0023423F" w:rsidRPr="006A53B7">
        <w:rPr>
          <w:sz w:val="24"/>
          <w:szCs w:val="24"/>
        </w:rPr>
        <w:t>’</w:t>
      </w:r>
      <w:r w:rsidRPr="006A53B7">
        <w:rPr>
          <w:sz w:val="24"/>
          <w:szCs w:val="24"/>
        </w:rPr>
        <w:t xml:space="preserve">s offshore wind power business, the Company earned RMB855 million from the wind power industry, representing a sharp increase of 121.40% over the same period of last year, marking a further consolidation of its leading status of magnets </w:t>
      </w:r>
      <w:r w:rsidR="00D94148" w:rsidRPr="00D94148">
        <w:rPr>
          <w:sz w:val="24"/>
          <w:szCs w:val="24"/>
        </w:rPr>
        <w:t xml:space="preserve">supplier </w:t>
      </w:r>
      <w:r w:rsidRPr="006A53B7">
        <w:rPr>
          <w:sz w:val="24"/>
          <w:szCs w:val="24"/>
        </w:rPr>
        <w:t xml:space="preserve">for the wind power industry. The Company </w:t>
      </w:r>
      <w:r w:rsidR="004F0789" w:rsidRPr="006A53B7">
        <w:rPr>
          <w:sz w:val="24"/>
          <w:szCs w:val="24"/>
        </w:rPr>
        <w:t xml:space="preserve">won </w:t>
      </w:r>
      <w:r w:rsidRPr="006A53B7">
        <w:rPr>
          <w:sz w:val="24"/>
          <w:szCs w:val="24"/>
        </w:rPr>
        <w:t xml:space="preserve">the honor </w:t>
      </w:r>
      <w:r w:rsidR="004F0789" w:rsidRPr="006A53B7">
        <w:rPr>
          <w:sz w:val="24"/>
          <w:szCs w:val="24"/>
        </w:rPr>
        <w:t xml:space="preserve">of </w:t>
      </w:r>
      <w:r w:rsidR="00497C34" w:rsidRPr="006A53B7">
        <w:rPr>
          <w:sz w:val="24"/>
          <w:szCs w:val="24"/>
        </w:rPr>
        <w:t>“</w:t>
      </w:r>
      <w:r w:rsidRPr="006A53B7">
        <w:rPr>
          <w:sz w:val="24"/>
          <w:szCs w:val="24"/>
        </w:rPr>
        <w:t>5A Supplier with Good Quality and Credit</w:t>
      </w:r>
      <w:r w:rsidR="00497C34" w:rsidRPr="006A53B7">
        <w:rPr>
          <w:sz w:val="24"/>
          <w:szCs w:val="24"/>
        </w:rPr>
        <w:t>”</w:t>
      </w:r>
      <w:r w:rsidRPr="006A53B7">
        <w:rPr>
          <w:sz w:val="24"/>
          <w:szCs w:val="24"/>
        </w:rPr>
        <w:t xml:space="preserve"> from </w:t>
      </w:r>
      <w:proofErr w:type="spellStart"/>
      <w:r w:rsidRPr="006A53B7">
        <w:rPr>
          <w:sz w:val="24"/>
          <w:szCs w:val="24"/>
        </w:rPr>
        <w:t>Goldwind</w:t>
      </w:r>
      <w:proofErr w:type="spellEnd"/>
      <w:r w:rsidRPr="006A53B7">
        <w:rPr>
          <w:sz w:val="24"/>
          <w:szCs w:val="24"/>
        </w:rPr>
        <w:t xml:space="preserve"> for five consecutive years from 2015 to 2019, and won the </w:t>
      </w:r>
      <w:r w:rsidR="00497C34" w:rsidRPr="006A53B7">
        <w:rPr>
          <w:sz w:val="24"/>
          <w:szCs w:val="24"/>
        </w:rPr>
        <w:t>“</w:t>
      </w:r>
      <w:r w:rsidRPr="006A53B7">
        <w:rPr>
          <w:sz w:val="24"/>
          <w:szCs w:val="24"/>
        </w:rPr>
        <w:t>Long-term Cooperation Award</w:t>
      </w:r>
      <w:r w:rsidR="00497C34" w:rsidRPr="006A53B7">
        <w:rPr>
          <w:sz w:val="24"/>
          <w:szCs w:val="24"/>
        </w:rPr>
        <w:t>”</w:t>
      </w:r>
      <w:r w:rsidRPr="006A53B7">
        <w:rPr>
          <w:sz w:val="24"/>
          <w:szCs w:val="24"/>
        </w:rPr>
        <w:t xml:space="preserve"> from </w:t>
      </w:r>
      <w:proofErr w:type="spellStart"/>
      <w:r w:rsidRPr="006A53B7">
        <w:rPr>
          <w:sz w:val="24"/>
          <w:szCs w:val="24"/>
        </w:rPr>
        <w:t>Goldwind</w:t>
      </w:r>
      <w:proofErr w:type="spellEnd"/>
      <w:r w:rsidRPr="006A53B7">
        <w:rPr>
          <w:sz w:val="24"/>
          <w:szCs w:val="24"/>
        </w:rPr>
        <w:t xml:space="preserve">. CRRC Zhuzhou Electric Co., Ltd. conferred the </w:t>
      </w:r>
      <w:r w:rsidR="00497C34" w:rsidRPr="006A53B7">
        <w:rPr>
          <w:sz w:val="24"/>
          <w:szCs w:val="24"/>
        </w:rPr>
        <w:t>“</w:t>
      </w:r>
      <w:r w:rsidRPr="006A53B7">
        <w:rPr>
          <w:sz w:val="24"/>
          <w:szCs w:val="24"/>
        </w:rPr>
        <w:t>10-year Strategic Cooperation Award</w:t>
      </w:r>
      <w:r w:rsidR="00497C34" w:rsidRPr="006A53B7">
        <w:rPr>
          <w:sz w:val="24"/>
          <w:szCs w:val="24"/>
        </w:rPr>
        <w:t>”</w:t>
      </w:r>
      <w:r w:rsidRPr="006A53B7">
        <w:rPr>
          <w:sz w:val="24"/>
          <w:szCs w:val="24"/>
        </w:rPr>
        <w:t xml:space="preserve"> to the Company. The Company was also a key wind power magnet supplier to Siemens </w:t>
      </w:r>
      <w:proofErr w:type="spellStart"/>
      <w:r w:rsidRPr="006A53B7">
        <w:rPr>
          <w:sz w:val="24"/>
          <w:szCs w:val="24"/>
        </w:rPr>
        <w:t>Gamesa</w:t>
      </w:r>
      <w:proofErr w:type="spellEnd"/>
      <w:r w:rsidRPr="006A53B7">
        <w:rPr>
          <w:sz w:val="24"/>
          <w:szCs w:val="24"/>
        </w:rPr>
        <w:t>.</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The Company continued to boost sales in the inverter air conditioner sector. Its income from the sector grew by 13.68% </w:t>
      </w:r>
      <w:r w:rsidR="00502074" w:rsidRPr="006A53B7">
        <w:rPr>
          <w:sz w:val="24"/>
          <w:szCs w:val="24"/>
        </w:rPr>
        <w:t>compared with the same period of last year</w:t>
      </w:r>
      <w:r w:rsidR="00502074" w:rsidRPr="006A53B7" w:rsidDel="00502074">
        <w:rPr>
          <w:sz w:val="24"/>
          <w:szCs w:val="24"/>
        </w:rPr>
        <w:t xml:space="preserve"> </w:t>
      </w:r>
      <w:r w:rsidRPr="006A53B7">
        <w:rPr>
          <w:sz w:val="24"/>
          <w:szCs w:val="24"/>
        </w:rPr>
        <w:t xml:space="preserve">to RMB422 million in 2019. In addition to seizing a leading share in the global inverter air conditioner market, the Company was also fully recognized by strategic customers in the inverter air conditioner industry. It received the 2019 </w:t>
      </w:r>
      <w:r w:rsidR="00497C34" w:rsidRPr="006A53B7">
        <w:rPr>
          <w:sz w:val="24"/>
          <w:szCs w:val="24"/>
        </w:rPr>
        <w:t>“</w:t>
      </w:r>
      <w:r w:rsidRPr="006A53B7">
        <w:rPr>
          <w:sz w:val="24"/>
          <w:szCs w:val="24"/>
        </w:rPr>
        <w:t>Technological Innovation Award</w:t>
      </w:r>
      <w:r w:rsidR="00497C34" w:rsidRPr="006A53B7">
        <w:rPr>
          <w:sz w:val="24"/>
          <w:szCs w:val="24"/>
        </w:rPr>
        <w:t>”</w:t>
      </w:r>
      <w:r w:rsidRPr="006A53B7">
        <w:rPr>
          <w:sz w:val="24"/>
          <w:szCs w:val="24"/>
        </w:rPr>
        <w:t xml:space="preserve"> and </w:t>
      </w:r>
      <w:r w:rsidR="00497C34" w:rsidRPr="006A53B7">
        <w:rPr>
          <w:sz w:val="24"/>
          <w:szCs w:val="24"/>
        </w:rPr>
        <w:t>“</w:t>
      </w:r>
      <w:r w:rsidRPr="006A53B7">
        <w:rPr>
          <w:sz w:val="24"/>
          <w:szCs w:val="24"/>
        </w:rPr>
        <w:t>Excellent Supplier</w:t>
      </w:r>
      <w:r w:rsidR="00497C34" w:rsidRPr="006A53B7">
        <w:rPr>
          <w:sz w:val="24"/>
          <w:szCs w:val="24"/>
        </w:rPr>
        <w:t>”</w:t>
      </w:r>
      <w:r w:rsidRPr="006A53B7">
        <w:rPr>
          <w:sz w:val="24"/>
          <w:szCs w:val="24"/>
        </w:rPr>
        <w:t xml:space="preserve"> honorary title from the Electromechanical Division of </w:t>
      </w:r>
      <w:proofErr w:type="spellStart"/>
      <w:r w:rsidRPr="006A53B7">
        <w:rPr>
          <w:sz w:val="24"/>
          <w:szCs w:val="24"/>
        </w:rPr>
        <w:t>Midea</w:t>
      </w:r>
      <w:proofErr w:type="spellEnd"/>
      <w:r w:rsidRPr="006A53B7">
        <w:rPr>
          <w:sz w:val="24"/>
          <w:szCs w:val="24"/>
        </w:rPr>
        <w:t xml:space="preserve"> Group, the 2019 </w:t>
      </w:r>
      <w:r w:rsidR="00497C34" w:rsidRPr="006A53B7">
        <w:rPr>
          <w:sz w:val="24"/>
          <w:szCs w:val="24"/>
        </w:rPr>
        <w:t>“</w:t>
      </w:r>
      <w:r w:rsidRPr="006A53B7">
        <w:rPr>
          <w:sz w:val="24"/>
          <w:szCs w:val="24"/>
        </w:rPr>
        <w:t>Quality Excellence Award</w:t>
      </w:r>
      <w:r w:rsidR="00497C34" w:rsidRPr="006A53B7">
        <w:rPr>
          <w:sz w:val="24"/>
          <w:szCs w:val="24"/>
        </w:rPr>
        <w:t>”</w:t>
      </w:r>
      <w:r w:rsidRPr="006A53B7">
        <w:rPr>
          <w:sz w:val="24"/>
          <w:szCs w:val="24"/>
        </w:rPr>
        <w:t xml:space="preserve"> from Mitsubishi Electric (Guangzhou) Compressor Co., Ltd. and the 2019 </w:t>
      </w:r>
      <w:r w:rsidR="00497C34" w:rsidRPr="006A53B7">
        <w:rPr>
          <w:sz w:val="24"/>
          <w:szCs w:val="24"/>
        </w:rPr>
        <w:t>“</w:t>
      </w:r>
      <w:r w:rsidRPr="006A53B7">
        <w:rPr>
          <w:sz w:val="24"/>
          <w:szCs w:val="24"/>
        </w:rPr>
        <w:t>Best Honest Contribution Award</w:t>
      </w:r>
      <w:r w:rsidR="00497C34" w:rsidRPr="006A53B7">
        <w:rPr>
          <w:sz w:val="24"/>
          <w:szCs w:val="24"/>
        </w:rPr>
        <w:t>”</w:t>
      </w:r>
      <w:r w:rsidRPr="006A53B7">
        <w:rPr>
          <w:sz w:val="24"/>
          <w:szCs w:val="24"/>
        </w:rPr>
        <w:t xml:space="preserve"> from Shanghai Highly Co., Ltd.</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In 2019, the Company expanded presence in the new energy vehicle sector with great endeavors. It was involved in the supplier chains of </w:t>
      </w:r>
      <w:r w:rsidR="0033325C" w:rsidRPr="0033325C">
        <w:rPr>
          <w:sz w:val="24"/>
          <w:szCs w:val="24"/>
        </w:rPr>
        <w:t>multiple</w:t>
      </w:r>
      <w:r w:rsidRPr="006A53B7">
        <w:rPr>
          <w:sz w:val="24"/>
          <w:szCs w:val="24"/>
        </w:rPr>
        <w:t xml:space="preserve"> top-tier new energy vehicle manufacturers in the world, and became a leading magnet supplier to the new energy vehicle sector. In 2019, the Company became the rare earth permanent magnetic material supplier </w:t>
      </w:r>
      <w:r w:rsidR="0033325C" w:rsidRPr="006A53B7">
        <w:rPr>
          <w:sz w:val="24"/>
          <w:szCs w:val="24"/>
        </w:rPr>
        <w:t xml:space="preserve">of United Automotive Electronic Systems Co., </w:t>
      </w:r>
      <w:proofErr w:type="spellStart"/>
      <w:r w:rsidR="0033325C" w:rsidRPr="006A53B7">
        <w:rPr>
          <w:sz w:val="24"/>
          <w:szCs w:val="24"/>
        </w:rPr>
        <w:t>Ltd.</w:t>
      </w:r>
      <w:r w:rsidRPr="006A53B7">
        <w:rPr>
          <w:sz w:val="24"/>
          <w:szCs w:val="24"/>
        </w:rPr>
        <w:t>for</w:t>
      </w:r>
      <w:proofErr w:type="spellEnd"/>
      <w:r w:rsidRPr="006A53B7">
        <w:rPr>
          <w:sz w:val="24"/>
          <w:szCs w:val="24"/>
        </w:rPr>
        <w:t xml:space="preserve"> the modular electric drive matrix (</w:t>
      </w:r>
      <w:r w:rsidR="00497C34" w:rsidRPr="006A53B7">
        <w:rPr>
          <w:sz w:val="24"/>
          <w:szCs w:val="24"/>
        </w:rPr>
        <w:t>“</w:t>
      </w:r>
      <w:r w:rsidRPr="006A53B7">
        <w:rPr>
          <w:sz w:val="24"/>
          <w:szCs w:val="24"/>
        </w:rPr>
        <w:t>MEB</w:t>
      </w:r>
      <w:r w:rsidR="00497C34" w:rsidRPr="006A53B7">
        <w:rPr>
          <w:sz w:val="24"/>
          <w:szCs w:val="24"/>
        </w:rPr>
        <w:t>”</w:t>
      </w:r>
      <w:r w:rsidRPr="006A53B7">
        <w:rPr>
          <w:sz w:val="24"/>
          <w:szCs w:val="24"/>
        </w:rPr>
        <w:t xml:space="preserve">) platform project </w:t>
      </w:r>
      <w:r w:rsidR="0033325C">
        <w:rPr>
          <w:sz w:val="24"/>
          <w:szCs w:val="24"/>
        </w:rPr>
        <w:t>of</w:t>
      </w:r>
      <w:r w:rsidR="0033325C" w:rsidRPr="006A53B7">
        <w:rPr>
          <w:sz w:val="24"/>
          <w:szCs w:val="24"/>
        </w:rPr>
        <w:t xml:space="preserve"> </w:t>
      </w:r>
      <w:r w:rsidRPr="006A53B7">
        <w:rPr>
          <w:sz w:val="24"/>
          <w:szCs w:val="24"/>
        </w:rPr>
        <w:t xml:space="preserve">Volkswagen Group, and was designated the supplier of rare earth permanent magnetic materials for the BEV3 flexible global all-electric vehicle platform of General Motors. This is </w:t>
      </w:r>
      <w:r w:rsidR="00502074" w:rsidRPr="006A53B7">
        <w:rPr>
          <w:sz w:val="24"/>
          <w:szCs w:val="24"/>
        </w:rPr>
        <w:t xml:space="preserve">projected </w:t>
      </w:r>
      <w:r w:rsidRPr="006A53B7">
        <w:rPr>
          <w:sz w:val="24"/>
          <w:szCs w:val="24"/>
        </w:rPr>
        <w:t xml:space="preserve">to </w:t>
      </w:r>
      <w:r w:rsidR="0033325C">
        <w:rPr>
          <w:sz w:val="24"/>
          <w:szCs w:val="24"/>
        </w:rPr>
        <w:t>bring positive impact on</w:t>
      </w:r>
      <w:r w:rsidR="0033325C" w:rsidRPr="006A53B7">
        <w:rPr>
          <w:sz w:val="24"/>
          <w:szCs w:val="24"/>
        </w:rPr>
        <w:t xml:space="preserve"> </w:t>
      </w:r>
      <w:r w:rsidR="002F793B" w:rsidRPr="006A53B7">
        <w:rPr>
          <w:sz w:val="24"/>
          <w:szCs w:val="24"/>
        </w:rPr>
        <w:t xml:space="preserve">the </w:t>
      </w:r>
      <w:r w:rsidR="00DD5766" w:rsidRPr="006A53B7">
        <w:rPr>
          <w:sz w:val="24"/>
          <w:szCs w:val="24"/>
        </w:rPr>
        <w:t xml:space="preserve">Company </w:t>
      </w:r>
      <w:r w:rsidR="00502074" w:rsidRPr="006A53B7">
        <w:rPr>
          <w:sz w:val="24"/>
          <w:szCs w:val="24"/>
        </w:rPr>
        <w:t>in</w:t>
      </w:r>
      <w:r w:rsidRPr="006A53B7">
        <w:rPr>
          <w:sz w:val="24"/>
          <w:szCs w:val="24"/>
        </w:rPr>
        <w:t xml:space="preserve"> future expansion </w:t>
      </w:r>
      <w:r w:rsidR="002F793B" w:rsidRPr="006A53B7">
        <w:rPr>
          <w:sz w:val="24"/>
          <w:szCs w:val="24"/>
        </w:rPr>
        <w:t xml:space="preserve">of </w:t>
      </w:r>
      <w:r w:rsidRPr="006A53B7">
        <w:rPr>
          <w:sz w:val="24"/>
          <w:szCs w:val="24"/>
        </w:rPr>
        <w:t xml:space="preserve">new energy vehicle market. The Company has </w:t>
      </w:r>
      <w:r w:rsidR="00810046" w:rsidRPr="006A53B7">
        <w:rPr>
          <w:sz w:val="24"/>
          <w:szCs w:val="24"/>
        </w:rPr>
        <w:t xml:space="preserve">been </w:t>
      </w:r>
      <w:r w:rsidRPr="006A53B7">
        <w:rPr>
          <w:sz w:val="24"/>
          <w:szCs w:val="24"/>
        </w:rPr>
        <w:t xml:space="preserve">engaged in </w:t>
      </w:r>
      <w:r w:rsidRPr="006A53B7">
        <w:rPr>
          <w:sz w:val="24"/>
          <w:szCs w:val="24"/>
        </w:rPr>
        <w:lastRenderedPageBreak/>
        <w:t>friendly cooperation with BOSCH Group</w:t>
      </w:r>
      <w:r w:rsidR="00F63826" w:rsidRPr="006A53B7">
        <w:rPr>
          <w:sz w:val="24"/>
          <w:szCs w:val="24"/>
        </w:rPr>
        <w:t xml:space="preserve"> for years</w:t>
      </w:r>
      <w:r w:rsidRPr="006A53B7">
        <w:rPr>
          <w:sz w:val="24"/>
          <w:szCs w:val="24"/>
        </w:rPr>
        <w:t xml:space="preserve">. It received the 2019 </w:t>
      </w:r>
      <w:r w:rsidR="00497C34" w:rsidRPr="006A53B7">
        <w:rPr>
          <w:sz w:val="24"/>
          <w:szCs w:val="24"/>
        </w:rPr>
        <w:t>“</w:t>
      </w:r>
      <w:r w:rsidRPr="006A53B7">
        <w:rPr>
          <w:sz w:val="24"/>
          <w:szCs w:val="24"/>
        </w:rPr>
        <w:t>Best Cooperation Award</w:t>
      </w:r>
      <w:r w:rsidR="00497C34" w:rsidRPr="006A53B7">
        <w:rPr>
          <w:sz w:val="24"/>
          <w:szCs w:val="24"/>
        </w:rPr>
        <w:t>”</w:t>
      </w:r>
      <w:r w:rsidRPr="006A53B7">
        <w:rPr>
          <w:sz w:val="24"/>
          <w:szCs w:val="24"/>
        </w:rPr>
        <w:t xml:space="preserve"> from United Automotive Electronic Systems Co., Ltd. </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In January 2020, the </w:t>
      </w:r>
      <w:r w:rsidRPr="006A53B7">
        <w:rPr>
          <w:i/>
          <w:sz w:val="24"/>
          <w:szCs w:val="24"/>
        </w:rPr>
        <w:t>Proposal on Establishing a Wholly-owned Subsidiary in Ningbo</w:t>
      </w:r>
      <w:r w:rsidRPr="006A53B7">
        <w:rPr>
          <w:sz w:val="24"/>
          <w:szCs w:val="24"/>
        </w:rPr>
        <w:t xml:space="preserve"> was approved at the 18th Meeting of the Second Board of Directors, an initiative a</w:t>
      </w:r>
      <w:r w:rsidRPr="00D320BF">
        <w:rPr>
          <w:sz w:val="24"/>
          <w:szCs w:val="24"/>
        </w:rPr>
        <w:t xml:space="preserve">imed at fostering and expanding the business in the 3C industry, improving competitiveness in the magnetic materials market for 3C and ensuring the capacity for supplying products to 3C customers. So far, </w:t>
      </w:r>
      <w:r w:rsidR="00FE1322" w:rsidRPr="00D320BF">
        <w:rPr>
          <w:sz w:val="24"/>
          <w:szCs w:val="24"/>
        </w:rPr>
        <w:t>JL MAG (Ningbo) Rare-Earth Co., Ltd.</w:t>
      </w:r>
      <w:r w:rsidRPr="00D320BF">
        <w:rPr>
          <w:sz w:val="24"/>
          <w:szCs w:val="24"/>
        </w:rPr>
        <w:t>, a</w:t>
      </w:r>
      <w:r w:rsidR="002F793B" w:rsidRPr="00D320BF">
        <w:rPr>
          <w:sz w:val="24"/>
          <w:szCs w:val="24"/>
        </w:rPr>
        <w:t>n</w:t>
      </w:r>
      <w:r w:rsidRPr="00D320BF">
        <w:rPr>
          <w:sz w:val="24"/>
          <w:szCs w:val="24"/>
        </w:rPr>
        <w:t xml:space="preserve"> </w:t>
      </w:r>
      <w:r w:rsidR="002F793B" w:rsidRPr="00D320BF">
        <w:rPr>
          <w:sz w:val="24"/>
          <w:szCs w:val="24"/>
        </w:rPr>
        <w:t xml:space="preserve">enterprise </w:t>
      </w:r>
      <w:r w:rsidRPr="00D320BF">
        <w:rPr>
          <w:sz w:val="24"/>
          <w:szCs w:val="24"/>
        </w:rPr>
        <w:t>wholly owned by the Company, has completed industrial and commercial registration, and it is preparing for the processing base project of magnetic products for</w:t>
      </w:r>
      <w:r w:rsidRPr="006A53B7">
        <w:rPr>
          <w:sz w:val="24"/>
          <w:szCs w:val="24"/>
        </w:rPr>
        <w:t xml:space="preserve"> 3C.</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In 2019, the Company further improved </w:t>
      </w:r>
      <w:r w:rsidR="002F793B" w:rsidRPr="006A53B7">
        <w:rPr>
          <w:sz w:val="24"/>
          <w:szCs w:val="24"/>
        </w:rPr>
        <w:t xml:space="preserve">its </w:t>
      </w:r>
      <w:r w:rsidRPr="006A53B7">
        <w:rPr>
          <w:sz w:val="24"/>
          <w:szCs w:val="24"/>
        </w:rPr>
        <w:t xml:space="preserve">technological </w:t>
      </w:r>
      <w:r w:rsidR="002F793B" w:rsidRPr="006A53B7">
        <w:rPr>
          <w:sz w:val="24"/>
          <w:szCs w:val="24"/>
        </w:rPr>
        <w:t>prowess</w:t>
      </w:r>
      <w:r w:rsidRPr="006A53B7">
        <w:rPr>
          <w:sz w:val="24"/>
          <w:szCs w:val="24"/>
        </w:rPr>
        <w:t xml:space="preserve">, quality and management capabilities. In terms of technology research and development, the Company fully mobilized and leveraged the enthusiasm of the technology research and development team. The research and development projects covered materials engineering, process optimization, robotics and automation applications, surface treatment, and recyclable technologies. The Company actively cooperated </w:t>
      </w:r>
      <w:r w:rsidR="00810046" w:rsidRPr="006A53B7">
        <w:rPr>
          <w:sz w:val="24"/>
          <w:szCs w:val="24"/>
        </w:rPr>
        <w:t xml:space="preserve">with </w:t>
      </w:r>
      <w:r w:rsidRPr="006A53B7">
        <w:rPr>
          <w:sz w:val="24"/>
          <w:szCs w:val="24"/>
        </w:rPr>
        <w:t xml:space="preserve">customers in new product research and development and product iteration and upgrading. Over the </w:t>
      </w:r>
      <w:r w:rsidR="00810046" w:rsidRPr="006A53B7">
        <w:rPr>
          <w:sz w:val="24"/>
          <w:szCs w:val="24"/>
        </w:rPr>
        <w:t xml:space="preserve">past </w:t>
      </w:r>
      <w:r w:rsidRPr="006A53B7">
        <w:rPr>
          <w:sz w:val="24"/>
          <w:szCs w:val="24"/>
        </w:rPr>
        <w:t>year, it developed more than 1,000 new samples. The research and development achievements of ultra-high grades such as N56, 54SH, 54UH and 45AH, as well as 45SH products without heavy rare earth</w:t>
      </w:r>
      <w:r w:rsidR="003A393F" w:rsidRPr="006A53B7">
        <w:rPr>
          <w:sz w:val="24"/>
          <w:szCs w:val="24"/>
        </w:rPr>
        <w:t>,</w:t>
      </w:r>
      <w:r w:rsidRPr="006A53B7">
        <w:rPr>
          <w:sz w:val="24"/>
          <w:szCs w:val="24"/>
        </w:rPr>
        <w:t xml:space="preserve"> have won praise from many strategic customers. In 2019, the Company independently researched and developed dozens of sets of new automation </w:t>
      </w:r>
      <w:proofErr w:type="spellStart"/>
      <w:r w:rsidRPr="006A53B7">
        <w:rPr>
          <w:sz w:val="24"/>
          <w:szCs w:val="24"/>
        </w:rPr>
        <w:t>equipment</w:t>
      </w:r>
      <w:r w:rsidR="005B361F">
        <w:rPr>
          <w:sz w:val="24"/>
          <w:szCs w:val="24"/>
        </w:rPr>
        <w:t>s</w:t>
      </w:r>
      <w:proofErr w:type="spellEnd"/>
      <w:r w:rsidRPr="006A53B7">
        <w:rPr>
          <w:sz w:val="24"/>
          <w:szCs w:val="24"/>
        </w:rPr>
        <w:t xml:space="preserve">, which significantly improved the capacity </w:t>
      </w:r>
      <w:r w:rsidR="005B361F">
        <w:rPr>
          <w:sz w:val="24"/>
          <w:szCs w:val="24"/>
        </w:rPr>
        <w:t>of</w:t>
      </w:r>
      <w:r w:rsidR="005B361F" w:rsidRPr="006A53B7">
        <w:rPr>
          <w:sz w:val="24"/>
          <w:szCs w:val="24"/>
        </w:rPr>
        <w:t xml:space="preserve"> </w:t>
      </w:r>
      <w:r w:rsidRPr="006A53B7">
        <w:rPr>
          <w:sz w:val="24"/>
          <w:szCs w:val="24"/>
        </w:rPr>
        <w:t xml:space="preserve">independently </w:t>
      </w:r>
      <w:r w:rsidR="005B361F">
        <w:rPr>
          <w:sz w:val="24"/>
          <w:szCs w:val="24"/>
        </w:rPr>
        <w:t>developing</w:t>
      </w:r>
      <w:r w:rsidR="005B361F" w:rsidRPr="006A53B7">
        <w:rPr>
          <w:sz w:val="24"/>
          <w:szCs w:val="24"/>
        </w:rPr>
        <w:t xml:space="preserve"> </w:t>
      </w:r>
      <w:proofErr w:type="spellStart"/>
      <w:r w:rsidRPr="006A53B7">
        <w:rPr>
          <w:sz w:val="24"/>
          <w:szCs w:val="24"/>
        </w:rPr>
        <w:t>equipment</w:t>
      </w:r>
      <w:r w:rsidR="005B361F">
        <w:rPr>
          <w:sz w:val="24"/>
          <w:szCs w:val="24"/>
        </w:rPr>
        <w:t>s</w:t>
      </w:r>
      <w:proofErr w:type="spellEnd"/>
      <w:r w:rsidRPr="006A53B7">
        <w:rPr>
          <w:sz w:val="24"/>
          <w:szCs w:val="24"/>
        </w:rPr>
        <w:t xml:space="preserve"> and making molds, and enhanced the automated production level. The Company promoted lean production which raised the delivery speed and production efficiency and reduced the inventory of </w:t>
      </w:r>
      <w:r w:rsidR="005C561C">
        <w:rPr>
          <w:sz w:val="24"/>
          <w:szCs w:val="24"/>
        </w:rPr>
        <w:t>work</w:t>
      </w:r>
      <w:r w:rsidRPr="006A53B7">
        <w:rPr>
          <w:sz w:val="24"/>
          <w:szCs w:val="24"/>
        </w:rPr>
        <w:t xml:space="preserve">-in-process during the production process. It </w:t>
      </w:r>
      <w:r w:rsidR="00A0794F" w:rsidRPr="006A53B7">
        <w:rPr>
          <w:sz w:val="24"/>
          <w:szCs w:val="24"/>
        </w:rPr>
        <w:t xml:space="preserve">was honored with </w:t>
      </w:r>
      <w:r w:rsidRPr="006A53B7">
        <w:rPr>
          <w:sz w:val="24"/>
          <w:szCs w:val="24"/>
        </w:rPr>
        <w:t xml:space="preserve">the </w:t>
      </w:r>
      <w:r w:rsidR="00497C34" w:rsidRPr="006A53B7">
        <w:rPr>
          <w:sz w:val="24"/>
          <w:szCs w:val="24"/>
        </w:rPr>
        <w:t>“</w:t>
      </w:r>
      <w:r w:rsidRPr="006A53B7">
        <w:rPr>
          <w:sz w:val="24"/>
          <w:szCs w:val="24"/>
        </w:rPr>
        <w:t xml:space="preserve">2019 </w:t>
      </w:r>
      <w:proofErr w:type="spellStart"/>
      <w:r w:rsidRPr="006A53B7">
        <w:rPr>
          <w:sz w:val="24"/>
          <w:szCs w:val="24"/>
        </w:rPr>
        <w:t>Ganzhou</w:t>
      </w:r>
      <w:proofErr w:type="spellEnd"/>
      <w:r w:rsidRPr="006A53B7">
        <w:rPr>
          <w:sz w:val="24"/>
          <w:szCs w:val="24"/>
        </w:rPr>
        <w:t xml:space="preserve"> Mayor</w:t>
      </w:r>
      <w:r w:rsidR="0023423F" w:rsidRPr="006A53B7">
        <w:rPr>
          <w:sz w:val="24"/>
          <w:szCs w:val="24"/>
        </w:rPr>
        <w:t>’</w:t>
      </w:r>
      <w:r w:rsidRPr="006A53B7">
        <w:rPr>
          <w:sz w:val="24"/>
          <w:szCs w:val="24"/>
        </w:rPr>
        <w:t>s Quality Award</w:t>
      </w:r>
      <w:r w:rsidR="00497C34" w:rsidRPr="006A53B7">
        <w:rPr>
          <w:sz w:val="24"/>
          <w:szCs w:val="24"/>
        </w:rPr>
        <w:t>”</w:t>
      </w:r>
      <w:r w:rsidRPr="006A53B7">
        <w:rPr>
          <w:sz w:val="24"/>
          <w:szCs w:val="24"/>
        </w:rPr>
        <w:t>.</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In November 2019, the Company issued convertible bonds successfully and raised RMB435 million, further strengthening </w:t>
      </w:r>
      <w:r w:rsidR="005C561C" w:rsidRPr="005C561C">
        <w:rPr>
          <w:sz w:val="24"/>
          <w:szCs w:val="24"/>
        </w:rPr>
        <w:t>competitiveness</w:t>
      </w:r>
      <w:r w:rsidRPr="006A53B7">
        <w:rPr>
          <w:sz w:val="24"/>
          <w:szCs w:val="24"/>
        </w:rPr>
        <w:t xml:space="preserve"> and </w:t>
      </w:r>
      <w:proofErr w:type="gramStart"/>
      <w:r w:rsidR="005C561C">
        <w:rPr>
          <w:sz w:val="24"/>
          <w:szCs w:val="24"/>
        </w:rPr>
        <w:t>boosting</w:t>
      </w:r>
      <w:r w:rsidR="005C561C" w:rsidRPr="006A53B7">
        <w:rPr>
          <w:sz w:val="24"/>
          <w:szCs w:val="24"/>
        </w:rPr>
        <w:t xml:space="preserve"> </w:t>
      </w:r>
      <w:r w:rsidRPr="006A53B7">
        <w:rPr>
          <w:sz w:val="24"/>
          <w:szCs w:val="24"/>
        </w:rPr>
        <w:t xml:space="preserve"> rapid</w:t>
      </w:r>
      <w:proofErr w:type="gramEnd"/>
      <w:r w:rsidRPr="006A53B7">
        <w:rPr>
          <w:sz w:val="24"/>
          <w:szCs w:val="24"/>
        </w:rPr>
        <w:t xml:space="preserve"> development. Currently, the </w:t>
      </w:r>
      <w:r w:rsidR="00497C34" w:rsidRPr="006A53B7">
        <w:rPr>
          <w:sz w:val="24"/>
          <w:szCs w:val="24"/>
        </w:rPr>
        <w:t>“</w:t>
      </w:r>
      <w:r w:rsidRPr="006A53B7">
        <w:rPr>
          <w:sz w:val="24"/>
          <w:szCs w:val="24"/>
        </w:rPr>
        <w:t>Intelligent Manufacturing Factory Upgrading Project</w:t>
      </w:r>
      <w:r w:rsidR="00497C34" w:rsidRPr="006A53B7">
        <w:rPr>
          <w:sz w:val="24"/>
          <w:szCs w:val="24"/>
        </w:rPr>
        <w:t>”</w:t>
      </w:r>
      <w:r w:rsidRPr="006A53B7">
        <w:rPr>
          <w:sz w:val="24"/>
          <w:szCs w:val="24"/>
        </w:rPr>
        <w:t xml:space="preserve"> financed by the </w:t>
      </w:r>
      <w:r w:rsidR="00746668">
        <w:rPr>
          <w:sz w:val="24"/>
          <w:szCs w:val="24"/>
        </w:rPr>
        <w:t>capital</w:t>
      </w:r>
      <w:r w:rsidR="00746668" w:rsidRPr="006A53B7">
        <w:rPr>
          <w:sz w:val="24"/>
          <w:szCs w:val="24"/>
        </w:rPr>
        <w:t xml:space="preserve"> </w:t>
      </w:r>
      <w:r w:rsidRPr="006A53B7">
        <w:rPr>
          <w:sz w:val="24"/>
          <w:szCs w:val="24"/>
        </w:rPr>
        <w:t xml:space="preserve">raised from the convertible bond offering is </w:t>
      </w:r>
      <w:r w:rsidR="00746668">
        <w:rPr>
          <w:sz w:val="24"/>
          <w:szCs w:val="24"/>
        </w:rPr>
        <w:t>forging ahead</w:t>
      </w:r>
      <w:r w:rsidR="00746668" w:rsidRPr="006A53B7">
        <w:rPr>
          <w:sz w:val="24"/>
          <w:szCs w:val="24"/>
        </w:rPr>
        <w:t xml:space="preserve"> </w:t>
      </w:r>
      <w:r w:rsidR="00746668">
        <w:rPr>
          <w:sz w:val="24"/>
          <w:szCs w:val="24"/>
        </w:rPr>
        <w:t>steadily</w:t>
      </w:r>
      <w:r w:rsidRPr="006A53B7">
        <w:rPr>
          <w:sz w:val="24"/>
          <w:szCs w:val="24"/>
        </w:rPr>
        <w:t xml:space="preserve">. As of February </w:t>
      </w:r>
      <w:r w:rsidR="004701F9" w:rsidRPr="006A53B7">
        <w:rPr>
          <w:sz w:val="24"/>
          <w:szCs w:val="24"/>
        </w:rPr>
        <w:t xml:space="preserve">29, </w:t>
      </w:r>
      <w:r w:rsidRPr="006A53B7">
        <w:rPr>
          <w:sz w:val="24"/>
          <w:szCs w:val="24"/>
        </w:rPr>
        <w:t xml:space="preserve">2020, the </w:t>
      </w:r>
      <w:r w:rsidR="00497C34" w:rsidRPr="006A53B7">
        <w:rPr>
          <w:sz w:val="24"/>
          <w:szCs w:val="24"/>
        </w:rPr>
        <w:t>“</w:t>
      </w:r>
      <w:r w:rsidRPr="006A53B7">
        <w:rPr>
          <w:sz w:val="24"/>
          <w:szCs w:val="24"/>
        </w:rPr>
        <w:t xml:space="preserve">New Project of Producing 13 Million Tons of </w:t>
      </w:r>
      <w:proofErr w:type="spellStart"/>
      <w:r w:rsidRPr="006A53B7">
        <w:rPr>
          <w:sz w:val="24"/>
          <w:szCs w:val="24"/>
        </w:rPr>
        <w:t>NdFeB</w:t>
      </w:r>
      <w:proofErr w:type="spellEnd"/>
      <w:r w:rsidRPr="006A53B7">
        <w:rPr>
          <w:sz w:val="24"/>
          <w:szCs w:val="24"/>
        </w:rPr>
        <w:t xml:space="preserve"> Magnets in a Year</w:t>
      </w:r>
      <w:r w:rsidR="00497C34" w:rsidRPr="006A53B7">
        <w:rPr>
          <w:sz w:val="24"/>
          <w:szCs w:val="24"/>
        </w:rPr>
        <w:t>”</w:t>
      </w:r>
      <w:r w:rsidRPr="006A53B7">
        <w:rPr>
          <w:sz w:val="24"/>
          <w:szCs w:val="24"/>
        </w:rPr>
        <w:t xml:space="preserve"> and the </w:t>
      </w:r>
      <w:r w:rsidR="00497C34" w:rsidRPr="006A53B7">
        <w:rPr>
          <w:sz w:val="24"/>
          <w:szCs w:val="24"/>
        </w:rPr>
        <w:t>“</w:t>
      </w:r>
      <w:r w:rsidRPr="006A53B7">
        <w:rPr>
          <w:sz w:val="24"/>
          <w:szCs w:val="24"/>
        </w:rPr>
        <w:t>Production Line Automation Project</w:t>
      </w:r>
      <w:r w:rsidR="00497C34" w:rsidRPr="006A53B7">
        <w:rPr>
          <w:sz w:val="24"/>
          <w:szCs w:val="24"/>
        </w:rPr>
        <w:t>”</w:t>
      </w:r>
      <w:r w:rsidRPr="006A53B7">
        <w:rPr>
          <w:sz w:val="24"/>
          <w:szCs w:val="24"/>
        </w:rPr>
        <w:t xml:space="preserve"> financed by the money raised from the IPO have been </w:t>
      </w:r>
      <w:r w:rsidR="00746668" w:rsidRPr="00746668">
        <w:rPr>
          <w:sz w:val="24"/>
          <w:szCs w:val="24"/>
        </w:rPr>
        <w:t>basically</w:t>
      </w:r>
      <w:r w:rsidR="00A0794F" w:rsidRPr="006A53B7">
        <w:rPr>
          <w:sz w:val="24"/>
          <w:szCs w:val="24"/>
        </w:rPr>
        <w:t xml:space="preserve"> </w:t>
      </w:r>
      <w:r w:rsidRPr="006A53B7">
        <w:rPr>
          <w:sz w:val="24"/>
          <w:szCs w:val="24"/>
        </w:rPr>
        <w:t xml:space="preserve">completed and launched, further reinforcing the </w:t>
      </w:r>
      <w:r w:rsidR="00746668">
        <w:rPr>
          <w:sz w:val="24"/>
          <w:szCs w:val="24"/>
        </w:rPr>
        <w:t xml:space="preserve">production </w:t>
      </w:r>
      <w:r w:rsidRPr="006A53B7">
        <w:rPr>
          <w:sz w:val="24"/>
          <w:szCs w:val="24"/>
        </w:rPr>
        <w:t>capacity.</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The Company paid close attention to its performance in the capital markets. In 2019, stocks of the Company were successively incorporated into the Growth Enterprise Index, the Shenzhen Stock Exchange Component Index and the FTSE Russell</w:t>
      </w:r>
      <w:r w:rsidR="00897E09">
        <w:rPr>
          <w:sz w:val="24"/>
          <w:szCs w:val="24"/>
        </w:rPr>
        <w:t xml:space="preserve"> Global Index</w:t>
      </w:r>
      <w:r w:rsidRPr="006A53B7">
        <w:rPr>
          <w:sz w:val="24"/>
          <w:szCs w:val="24"/>
        </w:rPr>
        <w:t xml:space="preserve">. In addition, the Company gained a series of laurels from authoritative media </w:t>
      </w:r>
      <w:r w:rsidR="00897E09">
        <w:rPr>
          <w:rFonts w:ascii="Arial" w:hAnsi="Arial" w:cs="Arial"/>
          <w:color w:val="333333"/>
          <w:sz w:val="21"/>
          <w:szCs w:val="21"/>
          <w:shd w:val="clear" w:color="auto" w:fill="FFFFFF"/>
        </w:rPr>
        <w:t>agencies</w:t>
      </w:r>
      <w:r w:rsidRPr="006A53B7">
        <w:rPr>
          <w:sz w:val="24"/>
          <w:szCs w:val="24"/>
        </w:rPr>
        <w:t xml:space="preserve">, including the </w:t>
      </w:r>
      <w:r w:rsidR="00497C34" w:rsidRPr="006A53B7">
        <w:rPr>
          <w:sz w:val="24"/>
          <w:szCs w:val="24"/>
        </w:rPr>
        <w:t>“</w:t>
      </w:r>
      <w:r w:rsidRPr="006A53B7">
        <w:rPr>
          <w:sz w:val="24"/>
          <w:szCs w:val="24"/>
        </w:rPr>
        <w:t>Contributor to China</w:t>
      </w:r>
      <w:r w:rsidR="0023423F" w:rsidRPr="006A53B7">
        <w:rPr>
          <w:sz w:val="24"/>
          <w:szCs w:val="24"/>
        </w:rPr>
        <w:t>’</w:t>
      </w:r>
      <w:r w:rsidRPr="006A53B7">
        <w:rPr>
          <w:sz w:val="24"/>
          <w:szCs w:val="24"/>
        </w:rPr>
        <w:t xml:space="preserve">s CSR </w:t>
      </w:r>
      <w:r w:rsidRPr="006A53B7">
        <w:rPr>
          <w:sz w:val="24"/>
          <w:szCs w:val="24"/>
        </w:rPr>
        <w:lastRenderedPageBreak/>
        <w:t>Endeavor</w:t>
      </w:r>
      <w:r w:rsidR="00497C34" w:rsidRPr="006A53B7">
        <w:rPr>
          <w:sz w:val="24"/>
          <w:szCs w:val="24"/>
        </w:rPr>
        <w:t>”</w:t>
      </w:r>
      <w:r w:rsidRPr="006A53B7">
        <w:rPr>
          <w:sz w:val="24"/>
          <w:szCs w:val="24"/>
        </w:rPr>
        <w:t xml:space="preserve"> from the </w:t>
      </w:r>
      <w:r w:rsidRPr="006A53B7">
        <w:rPr>
          <w:i/>
          <w:sz w:val="24"/>
          <w:szCs w:val="24"/>
        </w:rPr>
        <w:t>International Financial News</w:t>
      </w:r>
      <w:r w:rsidRPr="006A53B7">
        <w:rPr>
          <w:sz w:val="24"/>
          <w:szCs w:val="24"/>
        </w:rPr>
        <w:t xml:space="preserve"> under the</w:t>
      </w:r>
      <w:r w:rsidRPr="006A53B7">
        <w:rPr>
          <w:i/>
          <w:sz w:val="24"/>
          <w:szCs w:val="24"/>
        </w:rPr>
        <w:t xml:space="preserve"> People</w:t>
      </w:r>
      <w:r w:rsidR="0023423F" w:rsidRPr="006A53B7">
        <w:rPr>
          <w:i/>
          <w:sz w:val="24"/>
          <w:szCs w:val="24"/>
        </w:rPr>
        <w:t>’</w:t>
      </w:r>
      <w:r w:rsidRPr="006A53B7">
        <w:rPr>
          <w:i/>
          <w:sz w:val="24"/>
          <w:szCs w:val="24"/>
        </w:rPr>
        <w:t>s Daily</w:t>
      </w:r>
      <w:r w:rsidRPr="006A53B7">
        <w:rPr>
          <w:sz w:val="24"/>
          <w:szCs w:val="24"/>
        </w:rPr>
        <w:t xml:space="preserve">, the </w:t>
      </w:r>
      <w:r w:rsidR="00497C34" w:rsidRPr="006A53B7">
        <w:rPr>
          <w:sz w:val="24"/>
          <w:szCs w:val="24"/>
        </w:rPr>
        <w:t>“</w:t>
      </w:r>
      <w:r w:rsidRPr="006A53B7">
        <w:rPr>
          <w:sz w:val="24"/>
          <w:szCs w:val="24"/>
        </w:rPr>
        <w:t>Investor Relation Management Star</w:t>
      </w:r>
      <w:r w:rsidR="00497C34" w:rsidRPr="006A53B7">
        <w:rPr>
          <w:sz w:val="24"/>
          <w:szCs w:val="24"/>
        </w:rPr>
        <w:t>”</w:t>
      </w:r>
      <w:r w:rsidRPr="006A53B7">
        <w:rPr>
          <w:sz w:val="24"/>
          <w:szCs w:val="24"/>
        </w:rPr>
        <w:t xml:space="preserve"> from the </w:t>
      </w:r>
      <w:r w:rsidRPr="006A53B7">
        <w:rPr>
          <w:i/>
          <w:sz w:val="24"/>
          <w:szCs w:val="24"/>
        </w:rPr>
        <w:t>Economic Observer</w:t>
      </w:r>
      <w:r w:rsidRPr="006A53B7">
        <w:rPr>
          <w:sz w:val="24"/>
          <w:szCs w:val="24"/>
        </w:rPr>
        <w:t xml:space="preserve">, the </w:t>
      </w:r>
      <w:r w:rsidR="00497C34" w:rsidRPr="006A53B7">
        <w:rPr>
          <w:sz w:val="24"/>
          <w:szCs w:val="24"/>
        </w:rPr>
        <w:t>“</w:t>
      </w:r>
      <w:r w:rsidRPr="006A53B7">
        <w:rPr>
          <w:sz w:val="24"/>
          <w:szCs w:val="24"/>
        </w:rPr>
        <w:t>Excellent Board of Directors</w:t>
      </w:r>
      <w:r w:rsidR="00497C34" w:rsidRPr="006A53B7">
        <w:rPr>
          <w:sz w:val="24"/>
          <w:szCs w:val="24"/>
        </w:rPr>
        <w:t>”</w:t>
      </w:r>
      <w:r w:rsidRPr="006A53B7">
        <w:rPr>
          <w:sz w:val="24"/>
          <w:szCs w:val="24"/>
        </w:rPr>
        <w:t xml:space="preserve"> title from the 15th </w:t>
      </w:r>
      <w:r w:rsidR="00497C34" w:rsidRPr="006A53B7">
        <w:rPr>
          <w:sz w:val="24"/>
          <w:szCs w:val="24"/>
          <w:cs/>
        </w:rPr>
        <w:t>“</w:t>
      </w:r>
      <w:r w:rsidRPr="006A53B7">
        <w:rPr>
          <w:sz w:val="24"/>
          <w:szCs w:val="24"/>
        </w:rPr>
        <w:t>Golden Roundtable Award</w:t>
      </w:r>
      <w:r w:rsidR="00497C34" w:rsidRPr="006A53B7">
        <w:rPr>
          <w:sz w:val="24"/>
          <w:szCs w:val="24"/>
          <w:cs/>
        </w:rPr>
        <w:t>”</w:t>
      </w:r>
      <w:r w:rsidR="004701F9" w:rsidRPr="006A53B7">
        <w:rPr>
          <w:sz w:val="24"/>
          <w:szCs w:val="24"/>
          <w:cs/>
        </w:rPr>
        <w:t xml:space="preserve"> </w:t>
      </w:r>
      <w:r w:rsidRPr="006A53B7">
        <w:rPr>
          <w:sz w:val="24"/>
          <w:szCs w:val="24"/>
        </w:rPr>
        <w:t xml:space="preserve">campaign among board of directors of Chinese listed companies, the </w:t>
      </w:r>
      <w:r w:rsidR="00497C34" w:rsidRPr="006A53B7">
        <w:rPr>
          <w:sz w:val="24"/>
          <w:szCs w:val="24"/>
        </w:rPr>
        <w:t>“</w:t>
      </w:r>
      <w:r w:rsidRPr="006A53B7">
        <w:rPr>
          <w:sz w:val="24"/>
          <w:szCs w:val="24"/>
        </w:rPr>
        <w:t>IPO New Star Award of Chinese Listed Companies</w:t>
      </w:r>
      <w:r w:rsidR="00497C34" w:rsidRPr="006A53B7">
        <w:rPr>
          <w:sz w:val="24"/>
          <w:szCs w:val="24"/>
        </w:rPr>
        <w:t>”</w:t>
      </w:r>
      <w:r w:rsidRPr="006A53B7">
        <w:rPr>
          <w:sz w:val="24"/>
          <w:szCs w:val="24"/>
        </w:rPr>
        <w:t xml:space="preserve"> from the </w:t>
      </w:r>
      <w:r w:rsidRPr="006A53B7">
        <w:rPr>
          <w:i/>
          <w:sz w:val="24"/>
          <w:szCs w:val="24"/>
        </w:rPr>
        <w:t>Securities Times</w:t>
      </w:r>
      <w:r w:rsidRPr="006A53B7">
        <w:rPr>
          <w:sz w:val="24"/>
          <w:szCs w:val="24"/>
        </w:rPr>
        <w:t xml:space="preserve">, the </w:t>
      </w:r>
      <w:r w:rsidR="00497C34" w:rsidRPr="006A53B7">
        <w:rPr>
          <w:sz w:val="24"/>
          <w:szCs w:val="24"/>
        </w:rPr>
        <w:t>“</w:t>
      </w:r>
      <w:r w:rsidRPr="006A53B7">
        <w:rPr>
          <w:sz w:val="24"/>
          <w:szCs w:val="24"/>
        </w:rPr>
        <w:t xml:space="preserve">Listed Company with the </w:t>
      </w:r>
      <w:r w:rsidR="00FD1A10" w:rsidRPr="00FD1A10">
        <w:rPr>
          <w:sz w:val="24"/>
          <w:szCs w:val="24"/>
        </w:rPr>
        <w:t>supreme</w:t>
      </w:r>
      <w:r w:rsidRPr="006A53B7">
        <w:rPr>
          <w:sz w:val="24"/>
          <w:szCs w:val="24"/>
        </w:rPr>
        <w:t xml:space="preserve"> Growth Potential</w:t>
      </w:r>
      <w:r w:rsidR="00497C34" w:rsidRPr="006A53B7">
        <w:rPr>
          <w:sz w:val="24"/>
          <w:szCs w:val="24"/>
        </w:rPr>
        <w:t>”</w:t>
      </w:r>
      <w:r w:rsidRPr="006A53B7">
        <w:rPr>
          <w:sz w:val="24"/>
          <w:szCs w:val="24"/>
        </w:rPr>
        <w:t xml:space="preserve"> from the </w:t>
      </w:r>
      <w:r w:rsidRPr="006A53B7">
        <w:rPr>
          <w:i/>
          <w:sz w:val="24"/>
          <w:szCs w:val="24"/>
        </w:rPr>
        <w:t>Chinese Securities Journal</w:t>
      </w:r>
      <w:r w:rsidRPr="006A53B7">
        <w:rPr>
          <w:sz w:val="24"/>
          <w:szCs w:val="24"/>
        </w:rPr>
        <w:t xml:space="preserve">, and the </w:t>
      </w:r>
      <w:r w:rsidR="00497C34" w:rsidRPr="006A53B7">
        <w:rPr>
          <w:sz w:val="24"/>
          <w:szCs w:val="24"/>
        </w:rPr>
        <w:t>“</w:t>
      </w:r>
      <w:r w:rsidRPr="006A53B7">
        <w:rPr>
          <w:sz w:val="24"/>
          <w:szCs w:val="24"/>
        </w:rPr>
        <w:t>China New Economy Award</w:t>
      </w:r>
      <w:r w:rsidR="00497C34" w:rsidRPr="006A53B7">
        <w:rPr>
          <w:sz w:val="24"/>
          <w:szCs w:val="24"/>
        </w:rPr>
        <w:t>”</w:t>
      </w:r>
      <w:r w:rsidRPr="006A53B7">
        <w:rPr>
          <w:sz w:val="24"/>
          <w:szCs w:val="24"/>
        </w:rPr>
        <w:t xml:space="preserve"> from Frost &amp;Sullivan, a world-renowned research &amp; consulting firm that helps clients accelerate growth.</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Since </w:t>
      </w:r>
      <w:r w:rsidR="00A0794F" w:rsidRPr="006A53B7">
        <w:rPr>
          <w:sz w:val="24"/>
          <w:szCs w:val="24"/>
        </w:rPr>
        <w:t xml:space="preserve">its </w:t>
      </w:r>
      <w:r w:rsidR="00CE5350" w:rsidRPr="006A53B7">
        <w:rPr>
          <w:sz w:val="24"/>
          <w:szCs w:val="24"/>
        </w:rPr>
        <w:t>establishment</w:t>
      </w:r>
      <w:r w:rsidRPr="006A53B7">
        <w:rPr>
          <w:sz w:val="24"/>
          <w:szCs w:val="24"/>
        </w:rPr>
        <w:t>, the Company has earnestly fulfilled the social responsibilities as a listed company while pursuing growth. In 2019, it donat</w:t>
      </w:r>
      <w:r w:rsidR="00CE5350" w:rsidRPr="006A53B7">
        <w:rPr>
          <w:sz w:val="24"/>
          <w:szCs w:val="24"/>
        </w:rPr>
        <w:t>ed</w:t>
      </w:r>
      <w:r w:rsidRPr="006A53B7">
        <w:rPr>
          <w:sz w:val="24"/>
          <w:szCs w:val="24"/>
        </w:rPr>
        <w:t xml:space="preserve"> RMB396</w:t>
      </w:r>
      <w:proofErr w:type="gramStart"/>
      <w:r w:rsidRPr="006A53B7">
        <w:rPr>
          <w:sz w:val="24"/>
          <w:szCs w:val="24"/>
        </w:rPr>
        <w:t>,400</w:t>
      </w:r>
      <w:proofErr w:type="gramEnd"/>
      <w:r w:rsidRPr="006A53B7">
        <w:rPr>
          <w:sz w:val="24"/>
          <w:szCs w:val="24"/>
        </w:rPr>
        <w:t xml:space="preserve"> to the </w:t>
      </w:r>
      <w:r w:rsidR="00CE5350" w:rsidRPr="006A53B7">
        <w:rPr>
          <w:sz w:val="24"/>
          <w:szCs w:val="24"/>
        </w:rPr>
        <w:t xml:space="preserve">fight </w:t>
      </w:r>
      <w:r w:rsidRPr="006A53B7">
        <w:rPr>
          <w:sz w:val="24"/>
          <w:szCs w:val="24"/>
        </w:rPr>
        <w:t>against poverty, and set up scholarships or education funds of RMB360,000 at schools</w:t>
      </w:r>
      <w:r w:rsidR="00EE1EE5">
        <w:rPr>
          <w:sz w:val="24"/>
          <w:szCs w:val="24"/>
        </w:rPr>
        <w:t xml:space="preserve"> and colleges</w:t>
      </w:r>
      <w:r w:rsidRPr="006A53B7">
        <w:rPr>
          <w:sz w:val="24"/>
          <w:szCs w:val="24"/>
        </w:rPr>
        <w:t xml:space="preserve">. In July 2019, the Company won the honor of </w:t>
      </w:r>
      <w:r w:rsidR="00497C34" w:rsidRPr="006A53B7">
        <w:rPr>
          <w:sz w:val="24"/>
          <w:szCs w:val="24"/>
        </w:rPr>
        <w:t>“</w:t>
      </w:r>
      <w:r w:rsidRPr="006A53B7">
        <w:rPr>
          <w:sz w:val="24"/>
          <w:szCs w:val="24"/>
        </w:rPr>
        <w:t>Enterprise Providing Meritorious Service for Jiangxi Province in 2018</w:t>
      </w:r>
      <w:r w:rsidR="00497C34" w:rsidRPr="006A53B7">
        <w:rPr>
          <w:sz w:val="24"/>
          <w:szCs w:val="24"/>
        </w:rPr>
        <w:t>”</w:t>
      </w:r>
      <w:r w:rsidRPr="006A53B7">
        <w:rPr>
          <w:sz w:val="24"/>
          <w:szCs w:val="24"/>
        </w:rPr>
        <w:t>.</w:t>
      </w:r>
    </w:p>
    <w:p w:rsidR="00BA4227" w:rsidRPr="006A53B7" w:rsidRDefault="00BA4227" w:rsidP="00331CC2">
      <w:pPr>
        <w:autoSpaceDE w:val="0"/>
        <w:autoSpaceDN w:val="0"/>
        <w:adjustRightInd w:val="0"/>
        <w:spacing w:before="0" w:after="0" w:line="360" w:lineRule="auto"/>
        <w:rPr>
          <w:rFonts w:eastAsia="Times New Roman"/>
          <w:sz w:val="24"/>
          <w:szCs w:val="24"/>
        </w:rPr>
      </w:pPr>
      <w:r w:rsidRPr="006A53B7">
        <w:rPr>
          <w:sz w:val="24"/>
          <w:szCs w:val="24"/>
        </w:rPr>
        <w:t xml:space="preserve">The Company </w:t>
      </w:r>
      <w:r w:rsidR="00CE5350" w:rsidRPr="006A53B7">
        <w:rPr>
          <w:sz w:val="24"/>
          <w:szCs w:val="24"/>
        </w:rPr>
        <w:t xml:space="preserve">has </w:t>
      </w:r>
      <w:r w:rsidRPr="006A53B7">
        <w:rPr>
          <w:sz w:val="24"/>
          <w:szCs w:val="24"/>
        </w:rPr>
        <w:t xml:space="preserve">responded actively to the coronavirus outbreak </w:t>
      </w:r>
      <w:r w:rsidR="00CE5350" w:rsidRPr="006A53B7">
        <w:rPr>
          <w:sz w:val="24"/>
          <w:szCs w:val="24"/>
        </w:rPr>
        <w:t>since</w:t>
      </w:r>
      <w:r w:rsidRPr="006A53B7">
        <w:rPr>
          <w:sz w:val="24"/>
          <w:szCs w:val="24"/>
        </w:rPr>
        <w:t xml:space="preserve"> early 2020. It donated RMB1 million to the First Affiliated Hospital of </w:t>
      </w:r>
      <w:proofErr w:type="spellStart"/>
      <w:r w:rsidRPr="006A53B7">
        <w:rPr>
          <w:sz w:val="24"/>
          <w:szCs w:val="24"/>
        </w:rPr>
        <w:t>Gannan</w:t>
      </w:r>
      <w:proofErr w:type="spellEnd"/>
      <w:r w:rsidRPr="006A53B7">
        <w:rPr>
          <w:sz w:val="24"/>
          <w:szCs w:val="24"/>
        </w:rPr>
        <w:t xml:space="preserve"> Medical University through the Red Cross </w:t>
      </w:r>
      <w:r w:rsidR="004034CD">
        <w:rPr>
          <w:sz w:val="24"/>
          <w:szCs w:val="24"/>
        </w:rPr>
        <w:t>C</w:t>
      </w:r>
      <w:r w:rsidR="004034CD" w:rsidRPr="004034CD">
        <w:rPr>
          <w:sz w:val="24"/>
          <w:szCs w:val="24"/>
        </w:rPr>
        <w:t>aritas</w:t>
      </w:r>
      <w:r w:rsidRPr="006A53B7">
        <w:rPr>
          <w:sz w:val="24"/>
          <w:szCs w:val="24"/>
        </w:rPr>
        <w:t xml:space="preserve"> Foundation of </w:t>
      </w:r>
      <w:proofErr w:type="spellStart"/>
      <w:r w:rsidRPr="006A53B7">
        <w:rPr>
          <w:sz w:val="24"/>
          <w:szCs w:val="24"/>
        </w:rPr>
        <w:t>Ganzhou</w:t>
      </w:r>
      <w:proofErr w:type="spellEnd"/>
      <w:r w:rsidRPr="006A53B7">
        <w:rPr>
          <w:sz w:val="24"/>
          <w:szCs w:val="24"/>
        </w:rPr>
        <w:t xml:space="preserve"> and 28,000 imported medical masks to the Foundation in an effort to help the </w:t>
      </w:r>
      <w:r w:rsidR="00073D17" w:rsidRPr="006A53B7">
        <w:rPr>
          <w:sz w:val="24"/>
          <w:szCs w:val="24"/>
        </w:rPr>
        <w:t xml:space="preserve">locals </w:t>
      </w:r>
      <w:r w:rsidRPr="006A53B7">
        <w:rPr>
          <w:sz w:val="24"/>
          <w:szCs w:val="24"/>
        </w:rPr>
        <w:t>fight against the disease.</w:t>
      </w:r>
    </w:p>
    <w:p w:rsidR="00BA4227" w:rsidRPr="006A53B7" w:rsidRDefault="00BA4227" w:rsidP="00331CC2">
      <w:pPr>
        <w:pStyle w:val="Section"/>
        <w:outlineLvl w:val="2"/>
        <w:rPr>
          <w:bCs w:val="0"/>
          <w:sz w:val="24"/>
          <w:szCs w:val="24"/>
        </w:rPr>
      </w:pPr>
      <w:r w:rsidRPr="006A53B7">
        <w:rPr>
          <w:sz w:val="24"/>
          <w:szCs w:val="24"/>
        </w:rPr>
        <w:t xml:space="preserve">2. Whether there was any </w:t>
      </w:r>
      <w:r w:rsidR="00E443AD">
        <w:rPr>
          <w:sz w:val="24"/>
          <w:szCs w:val="24"/>
        </w:rPr>
        <w:t>major</w:t>
      </w:r>
      <w:r w:rsidR="00E443AD" w:rsidRPr="006A53B7">
        <w:rPr>
          <w:sz w:val="24"/>
          <w:szCs w:val="24"/>
        </w:rPr>
        <w:t xml:space="preserve"> </w:t>
      </w:r>
      <w:r w:rsidRPr="006A53B7">
        <w:rPr>
          <w:sz w:val="24"/>
          <w:szCs w:val="24"/>
        </w:rPr>
        <w:t>change</w:t>
      </w:r>
      <w:r w:rsidR="00E443AD">
        <w:rPr>
          <w:sz w:val="24"/>
          <w:szCs w:val="24"/>
        </w:rPr>
        <w:t>s</w:t>
      </w:r>
      <w:r w:rsidRPr="006A53B7">
        <w:rPr>
          <w:sz w:val="24"/>
          <w:szCs w:val="24"/>
        </w:rPr>
        <w:t xml:space="preserve"> in main business during the reporting period</w:t>
      </w:r>
    </w:p>
    <w:p w:rsidR="00BA4227" w:rsidRPr="006A53B7" w:rsidRDefault="00BA4227" w:rsidP="00331CC2">
      <w:pPr>
        <w:spacing w:before="0" w:after="0" w:line="360" w:lineRule="auto"/>
        <w:rPr>
          <w:sz w:val="24"/>
          <w:szCs w:val="24"/>
        </w:rPr>
      </w:pPr>
      <w:r w:rsidRPr="006A53B7">
        <w:rPr>
          <w:sz w:val="24"/>
          <w:szCs w:val="24"/>
          <w:cs/>
        </w:rPr>
        <w:t xml:space="preserve">□ </w:t>
      </w:r>
      <w:r w:rsidRPr="006A53B7">
        <w:rPr>
          <w:sz w:val="24"/>
          <w:szCs w:val="24"/>
        </w:rPr>
        <w:t xml:space="preserve">Yes     </w:t>
      </w:r>
      <w:r w:rsidRPr="006A53B7">
        <w:rPr>
          <w:sz w:val="24"/>
          <w:szCs w:val="24"/>
          <w:cs/>
        </w:rPr>
        <w:t xml:space="preserve">√ </w:t>
      </w:r>
      <w:r w:rsidRPr="006A53B7">
        <w:rPr>
          <w:sz w:val="24"/>
          <w:szCs w:val="24"/>
        </w:rPr>
        <w:t xml:space="preserve">No </w:t>
      </w:r>
    </w:p>
    <w:p w:rsidR="00BA4227" w:rsidRPr="006A53B7" w:rsidRDefault="00BA4227" w:rsidP="00331CC2">
      <w:pPr>
        <w:pStyle w:val="Section"/>
        <w:outlineLvl w:val="2"/>
        <w:rPr>
          <w:bCs w:val="0"/>
          <w:sz w:val="24"/>
          <w:szCs w:val="24"/>
        </w:rPr>
      </w:pPr>
      <w:r w:rsidRPr="006A53B7">
        <w:rPr>
          <w:sz w:val="24"/>
          <w:szCs w:val="24"/>
        </w:rPr>
        <w:t xml:space="preserve">3. Products contributing over 10% </w:t>
      </w:r>
      <w:r w:rsidR="00E443AD">
        <w:rPr>
          <w:sz w:val="24"/>
          <w:szCs w:val="24"/>
        </w:rPr>
        <w:t>of</w:t>
      </w:r>
      <w:r w:rsidR="00E443AD" w:rsidRPr="006A53B7">
        <w:rPr>
          <w:sz w:val="24"/>
          <w:szCs w:val="24"/>
        </w:rPr>
        <w:t xml:space="preserve"> </w:t>
      </w:r>
      <w:r w:rsidRPr="006A53B7">
        <w:rPr>
          <w:sz w:val="24"/>
          <w:szCs w:val="24"/>
        </w:rPr>
        <w:t>the Company</w:t>
      </w:r>
      <w:r w:rsidR="0023423F" w:rsidRPr="006A53B7">
        <w:rPr>
          <w:sz w:val="24"/>
          <w:szCs w:val="24"/>
        </w:rPr>
        <w:t>’</w:t>
      </w:r>
      <w:r w:rsidRPr="006A53B7">
        <w:rPr>
          <w:sz w:val="24"/>
          <w:szCs w:val="24"/>
        </w:rPr>
        <w:t>s main business income/profit</w:t>
      </w:r>
    </w:p>
    <w:p w:rsidR="00BA4227" w:rsidRPr="006A53B7" w:rsidRDefault="00BA4227" w:rsidP="00331CC2">
      <w:pPr>
        <w:spacing w:before="0" w:after="0" w:line="360" w:lineRule="auto"/>
        <w:rPr>
          <w:sz w:val="24"/>
          <w:szCs w:val="24"/>
        </w:rPr>
      </w:pPr>
      <w:r w:rsidRPr="006A53B7">
        <w:rPr>
          <w:sz w:val="24"/>
          <w:szCs w:val="24"/>
          <w:cs/>
        </w:rPr>
        <w:t xml:space="preserve">√ </w:t>
      </w:r>
      <w:r w:rsidRPr="006A53B7">
        <w:rPr>
          <w:sz w:val="24"/>
          <w:szCs w:val="24"/>
        </w:rPr>
        <w:t xml:space="preserve">Applicable  </w:t>
      </w:r>
      <w:r w:rsidRPr="006A53B7">
        <w:rPr>
          <w:sz w:val="24"/>
          <w:szCs w:val="24"/>
          <w:cs/>
        </w:rPr>
        <w:t xml:space="preserve">□ </w:t>
      </w:r>
      <w:r w:rsidRPr="006A53B7">
        <w:rPr>
          <w:sz w:val="24"/>
          <w:szCs w:val="24"/>
        </w:rPr>
        <w:t xml:space="preserve">Not applicable </w:t>
      </w:r>
    </w:p>
    <w:p w:rsidR="00BA4227" w:rsidRPr="006A53B7" w:rsidRDefault="00BA4227" w:rsidP="00331CC2">
      <w:pPr>
        <w:jc w:val="right"/>
        <w:rPr>
          <w:sz w:val="24"/>
          <w:szCs w:val="24"/>
        </w:rPr>
      </w:pPr>
      <w:r w:rsidRPr="006A53B7">
        <w:rPr>
          <w:sz w:val="24"/>
          <w:szCs w:val="24"/>
        </w:rPr>
        <w:t>In RMB</w:t>
      </w:r>
    </w:p>
    <w:tbl>
      <w:tblPr>
        <w:tblW w:w="0" w:type="auto"/>
        <w:tblInd w:w="28" w:type="dxa"/>
        <w:tblLayout w:type="fixed"/>
        <w:tblCellMar>
          <w:left w:w="28" w:type="dxa"/>
          <w:right w:w="28" w:type="dxa"/>
        </w:tblCellMar>
        <w:tblLook w:val="0000" w:firstRow="0" w:lastRow="0" w:firstColumn="0" w:lastColumn="0" w:noHBand="0" w:noVBand="0"/>
      </w:tblPr>
      <w:tblGrid>
        <w:gridCol w:w="1367"/>
        <w:gridCol w:w="1366"/>
        <w:gridCol w:w="1366"/>
        <w:gridCol w:w="1367"/>
        <w:gridCol w:w="1367"/>
        <w:gridCol w:w="1367"/>
        <w:gridCol w:w="1371"/>
      </w:tblGrid>
      <w:tr w:rsidR="00BA4227" w:rsidRPr="00204C47">
        <w:trPr>
          <w:cantSplit/>
        </w:trPr>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204C47" w:rsidRDefault="00BA4227" w:rsidP="00331CC2">
            <w:pPr>
              <w:jc w:val="center"/>
            </w:pPr>
            <w:r w:rsidRPr="00204C47">
              <w:t>Product name</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204C47" w:rsidRDefault="00BA4227" w:rsidP="00331CC2">
            <w:pPr>
              <w:jc w:val="center"/>
            </w:pPr>
            <w:r w:rsidRPr="00204C47">
              <w:t>Operating income</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204C47" w:rsidRDefault="00BA4227" w:rsidP="00331CC2">
            <w:pPr>
              <w:jc w:val="center"/>
            </w:pPr>
            <w:r w:rsidRPr="00204C47">
              <w:t>Operating profit</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204C47" w:rsidRDefault="00BA4227" w:rsidP="00331CC2">
            <w:pPr>
              <w:jc w:val="center"/>
            </w:pPr>
            <w:r w:rsidRPr="00204C47">
              <w:t>Gross profit margin</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204C47" w:rsidRDefault="00BA4227" w:rsidP="00331CC2">
            <w:pPr>
              <w:jc w:val="center"/>
            </w:pPr>
            <w:r w:rsidRPr="00204C47">
              <w:t>Increase/decrease of operating income over the same period of the previous year</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204C47" w:rsidRDefault="00BA4227" w:rsidP="00331CC2">
            <w:pPr>
              <w:jc w:val="center"/>
            </w:pPr>
            <w:r w:rsidRPr="00204C47">
              <w:t>Increase/decrease of operating profit over the same period of the previous year</w:t>
            </w:r>
          </w:p>
        </w:tc>
        <w:tc>
          <w:tcPr>
            <w:tcW w:w="1371" w:type="dxa"/>
            <w:tcBorders>
              <w:top w:val="single" w:sz="4" w:space="0" w:color="auto"/>
              <w:left w:val="single" w:sz="4" w:space="0" w:color="auto"/>
              <w:bottom w:val="single" w:sz="4" w:space="0" w:color="auto"/>
              <w:right w:val="single" w:sz="4" w:space="0" w:color="auto"/>
            </w:tcBorders>
            <w:shd w:val="clear" w:color="auto" w:fill="D3D3D3"/>
            <w:vAlign w:val="center"/>
          </w:tcPr>
          <w:p w:rsidR="00BA4227" w:rsidRPr="00204C47" w:rsidRDefault="00BA4227" w:rsidP="00331CC2">
            <w:pPr>
              <w:jc w:val="center"/>
            </w:pPr>
            <w:r w:rsidRPr="00204C47">
              <w:t>Increase/decrease of gross margin over the same period of the previous year</w:t>
            </w:r>
          </w:p>
        </w:tc>
      </w:tr>
      <w:tr w:rsidR="00BA4227" w:rsidRPr="00204C47">
        <w:trPr>
          <w:cantSplit/>
        </w:trPr>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204C47" w:rsidRDefault="00BA4227" w:rsidP="00331CC2">
            <w:pPr>
              <w:jc w:val="left"/>
            </w:pPr>
            <w:proofErr w:type="spellStart"/>
            <w:r w:rsidRPr="00204C47">
              <w:t>NdFeB</w:t>
            </w:r>
            <w:proofErr w:type="spellEnd"/>
            <w:r w:rsidRPr="00204C47">
              <w:t xml:space="preserve"> magnet</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204C47" w:rsidRDefault="00BA4227" w:rsidP="00331CC2">
            <w:pPr>
              <w:jc w:val="right"/>
            </w:pPr>
            <w:r w:rsidRPr="00204C47">
              <w:t>1,630,116,617.20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204C47" w:rsidRDefault="00BA4227" w:rsidP="00331CC2">
            <w:pPr>
              <w:jc w:val="right"/>
            </w:pPr>
            <w:r w:rsidRPr="00805587">
              <w:rPr>
                <w:color w:val="FF0000"/>
              </w:rPr>
              <w:t>1,277,464,549.98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204C47" w:rsidRDefault="00BA4227" w:rsidP="00331CC2">
            <w:pPr>
              <w:jc w:val="right"/>
            </w:pPr>
            <w:r w:rsidRPr="00204C47">
              <w:t>21.63%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204C47" w:rsidRDefault="00BA4227" w:rsidP="00331CC2">
            <w:pPr>
              <w:jc w:val="right"/>
            </w:pPr>
            <w:r w:rsidRPr="00204C47">
              <w:t>27.15%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204C47" w:rsidRDefault="00BA4227" w:rsidP="00331CC2">
            <w:pPr>
              <w:jc w:val="right"/>
            </w:pPr>
            <w:r w:rsidRPr="00204C47">
              <w:t>28.92%</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A4227" w:rsidRPr="00204C47" w:rsidRDefault="00BA4227" w:rsidP="00331CC2">
            <w:pPr>
              <w:jc w:val="right"/>
            </w:pPr>
            <w:r w:rsidRPr="00204C47">
              <w:t>-1.08%</w:t>
            </w:r>
          </w:p>
        </w:tc>
      </w:tr>
    </w:tbl>
    <w:p w:rsidR="00BA4227" w:rsidRPr="006A53B7" w:rsidRDefault="00BA4227" w:rsidP="00331CC2">
      <w:pPr>
        <w:pStyle w:val="Section"/>
        <w:outlineLvl w:val="2"/>
        <w:rPr>
          <w:bCs w:val="0"/>
          <w:sz w:val="24"/>
          <w:szCs w:val="24"/>
        </w:rPr>
      </w:pPr>
      <w:r w:rsidRPr="006A53B7">
        <w:rPr>
          <w:sz w:val="24"/>
          <w:szCs w:val="24"/>
        </w:rPr>
        <w:t>4. Whether there are seasonal or cyclical characteristics of business needing special attention</w:t>
      </w:r>
    </w:p>
    <w:p w:rsidR="00BA4227" w:rsidRPr="006A53B7" w:rsidRDefault="00BA4227" w:rsidP="00331CC2">
      <w:pPr>
        <w:spacing w:before="0" w:after="0" w:line="360" w:lineRule="auto"/>
        <w:rPr>
          <w:sz w:val="24"/>
          <w:szCs w:val="24"/>
        </w:rPr>
      </w:pPr>
      <w:r w:rsidRPr="006A53B7">
        <w:rPr>
          <w:sz w:val="24"/>
          <w:szCs w:val="24"/>
          <w:cs/>
        </w:rPr>
        <w:t xml:space="preserve">□ </w:t>
      </w:r>
      <w:r w:rsidRPr="006A53B7">
        <w:rPr>
          <w:sz w:val="24"/>
          <w:szCs w:val="24"/>
        </w:rPr>
        <w:t xml:space="preserve">Yes     </w:t>
      </w:r>
      <w:r w:rsidRPr="006A53B7">
        <w:rPr>
          <w:sz w:val="24"/>
          <w:szCs w:val="24"/>
          <w:cs/>
        </w:rPr>
        <w:t xml:space="preserve">√ </w:t>
      </w:r>
      <w:r w:rsidRPr="006A53B7">
        <w:rPr>
          <w:sz w:val="24"/>
          <w:szCs w:val="24"/>
        </w:rPr>
        <w:t xml:space="preserve">No </w:t>
      </w:r>
    </w:p>
    <w:p w:rsidR="00BA4227" w:rsidRPr="006A53B7" w:rsidRDefault="00BA4227" w:rsidP="00331CC2">
      <w:pPr>
        <w:pStyle w:val="Section"/>
        <w:outlineLvl w:val="2"/>
        <w:rPr>
          <w:bCs w:val="0"/>
          <w:sz w:val="24"/>
          <w:szCs w:val="24"/>
        </w:rPr>
      </w:pPr>
      <w:r w:rsidRPr="006A53B7">
        <w:rPr>
          <w:sz w:val="24"/>
          <w:szCs w:val="24"/>
        </w:rPr>
        <w:t xml:space="preserve">5. Explanation on possible </w:t>
      </w:r>
      <w:r w:rsidR="00E443AD">
        <w:rPr>
          <w:sz w:val="24"/>
          <w:szCs w:val="24"/>
        </w:rPr>
        <w:t>major</w:t>
      </w:r>
      <w:r w:rsidR="00E443AD" w:rsidRPr="006A53B7">
        <w:rPr>
          <w:sz w:val="24"/>
          <w:szCs w:val="24"/>
        </w:rPr>
        <w:t xml:space="preserve"> </w:t>
      </w:r>
      <w:r w:rsidRPr="006A53B7">
        <w:rPr>
          <w:sz w:val="24"/>
          <w:szCs w:val="24"/>
        </w:rPr>
        <w:t>changes of operating income, operating costs and net profit attributable to ordinary shareholders of the company during the reporting period over the prior reporting period</w:t>
      </w:r>
    </w:p>
    <w:p w:rsidR="00BA4227" w:rsidRPr="006A53B7" w:rsidRDefault="00BA4227" w:rsidP="00331CC2">
      <w:pPr>
        <w:spacing w:before="0" w:after="0" w:line="360" w:lineRule="auto"/>
        <w:jc w:val="left"/>
        <w:rPr>
          <w:sz w:val="24"/>
          <w:szCs w:val="24"/>
        </w:rPr>
      </w:pPr>
      <w:r w:rsidRPr="006A53B7">
        <w:rPr>
          <w:sz w:val="24"/>
          <w:szCs w:val="24"/>
          <w:cs/>
        </w:rPr>
        <w:t xml:space="preserve">√ </w:t>
      </w:r>
      <w:r w:rsidRPr="006A53B7">
        <w:rPr>
          <w:sz w:val="24"/>
          <w:szCs w:val="24"/>
        </w:rPr>
        <w:t xml:space="preserve">Applicable  </w:t>
      </w:r>
      <w:r w:rsidRPr="006A53B7">
        <w:rPr>
          <w:sz w:val="24"/>
          <w:szCs w:val="24"/>
          <w:cs/>
        </w:rPr>
        <w:t xml:space="preserve">□ </w:t>
      </w:r>
      <w:r w:rsidRPr="006A53B7">
        <w:rPr>
          <w:sz w:val="24"/>
          <w:szCs w:val="24"/>
        </w:rPr>
        <w:t xml:space="preserve">Not applicable </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lastRenderedPageBreak/>
        <w:t>During the reporting period, the Company realized an operating income of RMB1</w:t>
      </w:r>
      <w:proofErr w:type="gramStart"/>
      <w:r w:rsidRPr="006A53B7">
        <w:rPr>
          <w:sz w:val="24"/>
          <w:szCs w:val="24"/>
        </w:rPr>
        <w:t>,696,838,500</w:t>
      </w:r>
      <w:proofErr w:type="gramEnd"/>
      <w:r w:rsidRPr="006A53B7">
        <w:rPr>
          <w:sz w:val="24"/>
          <w:szCs w:val="24"/>
        </w:rPr>
        <w:t xml:space="preserve">, up 31.61% </w:t>
      </w:r>
      <w:r w:rsidR="00E443AD">
        <w:rPr>
          <w:sz w:val="24"/>
          <w:szCs w:val="24"/>
        </w:rPr>
        <w:t>YoY</w:t>
      </w:r>
      <w:r w:rsidRPr="006A53B7">
        <w:rPr>
          <w:sz w:val="24"/>
          <w:szCs w:val="24"/>
        </w:rPr>
        <w:t>. This included earnings of RMB281</w:t>
      </w:r>
      <w:proofErr w:type="gramStart"/>
      <w:r w:rsidRPr="006A53B7">
        <w:rPr>
          <w:sz w:val="24"/>
          <w:szCs w:val="24"/>
        </w:rPr>
        <w:t>,262,800</w:t>
      </w:r>
      <w:proofErr w:type="gramEnd"/>
      <w:r w:rsidRPr="006A53B7">
        <w:rPr>
          <w:sz w:val="24"/>
          <w:szCs w:val="24"/>
        </w:rPr>
        <w:t xml:space="preserve"> from exports, up 58.65% </w:t>
      </w:r>
      <w:r w:rsidR="00E443AD">
        <w:rPr>
          <w:sz w:val="24"/>
          <w:szCs w:val="24"/>
        </w:rPr>
        <w:t>YoY</w:t>
      </w:r>
      <w:r w:rsidRPr="006A53B7">
        <w:rPr>
          <w:sz w:val="24"/>
          <w:szCs w:val="24"/>
        </w:rPr>
        <w:t xml:space="preserve">; the Company </w:t>
      </w:r>
      <w:r w:rsidR="00654331" w:rsidRPr="006A53B7">
        <w:rPr>
          <w:sz w:val="24"/>
          <w:szCs w:val="24"/>
        </w:rPr>
        <w:t xml:space="preserve">generated </w:t>
      </w:r>
      <w:r w:rsidRPr="006A53B7">
        <w:rPr>
          <w:sz w:val="24"/>
          <w:szCs w:val="24"/>
        </w:rPr>
        <w:t xml:space="preserve">a net profit attributable to </w:t>
      </w:r>
      <w:r w:rsidR="00E443AD">
        <w:rPr>
          <w:sz w:val="24"/>
          <w:szCs w:val="24"/>
        </w:rPr>
        <w:t>share</w:t>
      </w:r>
      <w:r w:rsidRPr="006A53B7">
        <w:rPr>
          <w:sz w:val="24"/>
          <w:szCs w:val="24"/>
        </w:rPr>
        <w:t xml:space="preserve">holders of the company of RMB156,880,200, up 6.58% </w:t>
      </w:r>
      <w:r w:rsidR="00E443AD">
        <w:rPr>
          <w:sz w:val="24"/>
          <w:szCs w:val="24"/>
        </w:rPr>
        <w:t>YoY</w:t>
      </w:r>
      <w:r w:rsidRPr="006A53B7">
        <w:rPr>
          <w:sz w:val="24"/>
          <w:szCs w:val="24"/>
        </w:rPr>
        <w:t xml:space="preserve">; the Company posted a net profit attributable to </w:t>
      </w:r>
      <w:r w:rsidR="00E443AD">
        <w:rPr>
          <w:sz w:val="24"/>
          <w:szCs w:val="24"/>
        </w:rPr>
        <w:t>share</w:t>
      </w:r>
      <w:r w:rsidRPr="006A53B7">
        <w:rPr>
          <w:sz w:val="24"/>
          <w:szCs w:val="24"/>
        </w:rPr>
        <w:t xml:space="preserve">holders of the company </w:t>
      </w:r>
      <w:r w:rsidR="00E443AD">
        <w:rPr>
          <w:sz w:val="24"/>
          <w:szCs w:val="24"/>
        </w:rPr>
        <w:t>net of nonrecurring profit or loss</w:t>
      </w:r>
      <w:r w:rsidRPr="006A53B7">
        <w:rPr>
          <w:sz w:val="24"/>
          <w:szCs w:val="24"/>
        </w:rPr>
        <w:t xml:space="preserve"> at RMB146</w:t>
      </w:r>
      <w:r w:rsidR="0029184B">
        <w:rPr>
          <w:rFonts w:hint="eastAsia"/>
          <w:sz w:val="24"/>
          <w:szCs w:val="24"/>
          <w:lang w:eastAsia="zh-CN"/>
        </w:rPr>
        <w:t>,</w:t>
      </w:r>
      <w:r w:rsidRPr="006A53B7">
        <w:rPr>
          <w:sz w:val="24"/>
          <w:szCs w:val="24"/>
        </w:rPr>
        <w:t>83</w:t>
      </w:r>
      <w:r w:rsidR="00204C47">
        <w:rPr>
          <w:sz w:val="24"/>
          <w:szCs w:val="24"/>
        </w:rPr>
        <w:t>8</w:t>
      </w:r>
      <w:r w:rsidR="0029184B">
        <w:rPr>
          <w:rFonts w:hint="eastAsia"/>
          <w:sz w:val="24"/>
          <w:szCs w:val="24"/>
          <w:lang w:eastAsia="zh-CN"/>
        </w:rPr>
        <w:t>,</w:t>
      </w:r>
      <w:r w:rsidRPr="006A53B7">
        <w:rPr>
          <w:sz w:val="24"/>
          <w:szCs w:val="24"/>
        </w:rPr>
        <w:t xml:space="preserve">400, up 38.79% </w:t>
      </w:r>
      <w:r w:rsidR="00E443AD">
        <w:rPr>
          <w:sz w:val="24"/>
          <w:szCs w:val="24"/>
        </w:rPr>
        <w:t>YoY</w:t>
      </w:r>
      <w:r w:rsidRPr="006A53B7">
        <w:rPr>
          <w:sz w:val="24"/>
          <w:szCs w:val="24"/>
        </w:rPr>
        <w:t>. In 2019, the Company</w:t>
      </w:r>
      <w:r w:rsidR="0023423F" w:rsidRPr="006A53B7">
        <w:rPr>
          <w:sz w:val="24"/>
          <w:szCs w:val="24"/>
        </w:rPr>
        <w:t>’</w:t>
      </w:r>
      <w:r w:rsidRPr="006A53B7">
        <w:rPr>
          <w:sz w:val="24"/>
          <w:szCs w:val="24"/>
        </w:rPr>
        <w:t>s income from wind power surged by 121.40% over the same period of last year to RMB855 million, and its income from the energy</w:t>
      </w:r>
      <w:r w:rsidR="00E443AD">
        <w:rPr>
          <w:sz w:val="24"/>
          <w:szCs w:val="24"/>
        </w:rPr>
        <w:t>-</w:t>
      </w:r>
      <w:r w:rsidR="00E443AD" w:rsidRPr="00E443AD">
        <w:rPr>
          <w:sz w:val="24"/>
          <w:szCs w:val="24"/>
        </w:rPr>
        <w:t>conservation</w:t>
      </w:r>
      <w:r w:rsidRPr="006A53B7">
        <w:rPr>
          <w:sz w:val="24"/>
          <w:szCs w:val="24"/>
        </w:rPr>
        <w:t xml:space="preserve"> inverter air conditioner manufacturing sector grew by 13.68% on a year ago to RMB422 million.</w:t>
      </w:r>
    </w:p>
    <w:p w:rsidR="00BA4227" w:rsidRPr="006A53B7" w:rsidRDefault="00BA4227" w:rsidP="00331CC2">
      <w:pPr>
        <w:pStyle w:val="Section"/>
        <w:outlineLvl w:val="2"/>
        <w:rPr>
          <w:bCs w:val="0"/>
          <w:sz w:val="24"/>
          <w:szCs w:val="24"/>
        </w:rPr>
      </w:pPr>
      <w:r w:rsidRPr="006A53B7">
        <w:rPr>
          <w:sz w:val="24"/>
          <w:szCs w:val="24"/>
        </w:rPr>
        <w:t>6. Suspension and termination of listing</w:t>
      </w:r>
    </w:p>
    <w:p w:rsidR="00BA4227" w:rsidRPr="006A53B7" w:rsidRDefault="00BA4227" w:rsidP="00331CC2">
      <w:pPr>
        <w:spacing w:before="0" w:after="0" w:line="360" w:lineRule="auto"/>
        <w:rPr>
          <w:sz w:val="24"/>
          <w:szCs w:val="24"/>
        </w:rPr>
      </w:pPr>
      <w:r w:rsidRPr="006A53B7">
        <w:rPr>
          <w:sz w:val="24"/>
          <w:szCs w:val="24"/>
          <w:cs/>
        </w:rPr>
        <w:t xml:space="preserve">□ </w:t>
      </w:r>
      <w:r w:rsidRPr="006A53B7">
        <w:rPr>
          <w:sz w:val="24"/>
          <w:szCs w:val="24"/>
        </w:rPr>
        <w:t xml:space="preserve">Applicable     </w:t>
      </w:r>
      <w:r w:rsidRPr="006A53B7">
        <w:rPr>
          <w:sz w:val="24"/>
          <w:szCs w:val="24"/>
          <w:cs/>
        </w:rPr>
        <w:t xml:space="preserve">√ </w:t>
      </w:r>
      <w:r w:rsidRPr="006A53B7">
        <w:rPr>
          <w:sz w:val="24"/>
          <w:szCs w:val="24"/>
        </w:rPr>
        <w:t xml:space="preserve">Not applicable </w:t>
      </w:r>
    </w:p>
    <w:p w:rsidR="00BA4227" w:rsidRPr="006A53B7" w:rsidRDefault="00BA4227" w:rsidP="00331CC2">
      <w:pPr>
        <w:pStyle w:val="Section"/>
        <w:outlineLvl w:val="2"/>
        <w:rPr>
          <w:bCs w:val="0"/>
          <w:sz w:val="24"/>
          <w:szCs w:val="24"/>
        </w:rPr>
      </w:pPr>
      <w:r w:rsidRPr="006A53B7">
        <w:rPr>
          <w:sz w:val="24"/>
          <w:szCs w:val="24"/>
        </w:rPr>
        <w:t xml:space="preserve">7. Matters </w:t>
      </w:r>
      <w:r w:rsidR="00073D17" w:rsidRPr="006A53B7">
        <w:rPr>
          <w:sz w:val="24"/>
          <w:szCs w:val="24"/>
        </w:rPr>
        <w:t xml:space="preserve">connected </w:t>
      </w:r>
      <w:r w:rsidR="00F9247F" w:rsidRPr="006A53B7">
        <w:rPr>
          <w:sz w:val="24"/>
          <w:szCs w:val="24"/>
        </w:rPr>
        <w:t xml:space="preserve">with </w:t>
      </w:r>
      <w:r w:rsidRPr="006A53B7">
        <w:rPr>
          <w:sz w:val="24"/>
          <w:szCs w:val="24"/>
        </w:rPr>
        <w:t>the financial report</w:t>
      </w:r>
    </w:p>
    <w:p w:rsidR="00BA4227" w:rsidRPr="006A53B7" w:rsidRDefault="00D320BF" w:rsidP="006D246E">
      <w:pPr>
        <w:pStyle w:val="Section"/>
        <w:outlineLvl w:val="3"/>
        <w:rPr>
          <w:bCs w:val="0"/>
          <w:sz w:val="24"/>
          <w:szCs w:val="24"/>
        </w:rPr>
      </w:pPr>
      <w:r>
        <w:rPr>
          <w:rFonts w:hint="eastAsia"/>
          <w:sz w:val="24"/>
          <w:szCs w:val="24"/>
          <w:lang w:eastAsia="zh-CN"/>
        </w:rPr>
        <w:t>(1)</w:t>
      </w:r>
      <w:r w:rsidR="00BA4227" w:rsidRPr="006A53B7">
        <w:rPr>
          <w:sz w:val="24"/>
          <w:szCs w:val="24"/>
        </w:rPr>
        <w:t xml:space="preserve"> </w:t>
      </w:r>
      <w:r w:rsidR="006D246E" w:rsidRPr="006D246E">
        <w:rPr>
          <w:sz w:val="24"/>
          <w:szCs w:val="24"/>
        </w:rPr>
        <w:t xml:space="preserve">Reason for </w:t>
      </w:r>
      <w:r w:rsidR="0072118F">
        <w:rPr>
          <w:sz w:val="24"/>
          <w:szCs w:val="24"/>
        </w:rPr>
        <w:t>c</w:t>
      </w:r>
      <w:r w:rsidR="006D246E" w:rsidRPr="006D246E">
        <w:rPr>
          <w:sz w:val="24"/>
          <w:szCs w:val="24"/>
        </w:rPr>
        <w:t xml:space="preserve">hanges in </w:t>
      </w:r>
      <w:r w:rsidR="0072118F">
        <w:rPr>
          <w:sz w:val="24"/>
          <w:szCs w:val="24"/>
        </w:rPr>
        <w:t>a</w:t>
      </w:r>
      <w:r w:rsidR="006D246E" w:rsidRPr="006D246E">
        <w:rPr>
          <w:sz w:val="24"/>
          <w:szCs w:val="24"/>
        </w:rPr>
        <w:t xml:space="preserve">ccounting </w:t>
      </w:r>
      <w:r w:rsidR="0072118F">
        <w:rPr>
          <w:sz w:val="24"/>
          <w:szCs w:val="24"/>
        </w:rPr>
        <w:t>p</w:t>
      </w:r>
      <w:r w:rsidR="006D246E" w:rsidRPr="006D246E">
        <w:rPr>
          <w:sz w:val="24"/>
          <w:szCs w:val="24"/>
        </w:rPr>
        <w:t xml:space="preserve">olicies, </w:t>
      </w:r>
      <w:r w:rsidR="0072118F">
        <w:rPr>
          <w:sz w:val="24"/>
          <w:szCs w:val="24"/>
        </w:rPr>
        <w:t>a</w:t>
      </w:r>
      <w:r w:rsidR="006D246E" w:rsidRPr="006D246E">
        <w:rPr>
          <w:sz w:val="24"/>
          <w:szCs w:val="24"/>
        </w:rPr>
        <w:t xml:space="preserve">ccounting </w:t>
      </w:r>
      <w:r w:rsidR="0072118F">
        <w:rPr>
          <w:sz w:val="24"/>
          <w:szCs w:val="24"/>
        </w:rPr>
        <w:t>e</w:t>
      </w:r>
      <w:r w:rsidR="006D246E" w:rsidRPr="006D246E">
        <w:rPr>
          <w:sz w:val="24"/>
          <w:szCs w:val="24"/>
        </w:rPr>
        <w:t xml:space="preserve">stimates and </w:t>
      </w:r>
      <w:r w:rsidR="0072118F">
        <w:rPr>
          <w:sz w:val="24"/>
          <w:szCs w:val="24"/>
        </w:rPr>
        <w:t>a</w:t>
      </w:r>
      <w:r w:rsidR="006D246E" w:rsidRPr="006D246E">
        <w:rPr>
          <w:sz w:val="24"/>
          <w:szCs w:val="24"/>
        </w:rPr>
        <w:t>ccounting</w:t>
      </w:r>
      <w:r w:rsidR="006D246E">
        <w:rPr>
          <w:sz w:val="24"/>
          <w:szCs w:val="24"/>
        </w:rPr>
        <w:t xml:space="preserve"> </w:t>
      </w:r>
      <w:r w:rsidR="0072118F">
        <w:rPr>
          <w:sz w:val="24"/>
          <w:szCs w:val="24"/>
        </w:rPr>
        <w:t>m</w:t>
      </w:r>
      <w:r w:rsidR="006D246E" w:rsidRPr="006D246E">
        <w:rPr>
          <w:sz w:val="24"/>
          <w:szCs w:val="24"/>
        </w:rPr>
        <w:t xml:space="preserve">ethods as </w:t>
      </w:r>
      <w:r w:rsidR="0072118F">
        <w:rPr>
          <w:sz w:val="24"/>
          <w:szCs w:val="24"/>
        </w:rPr>
        <w:t>c</w:t>
      </w:r>
      <w:r w:rsidR="006D246E" w:rsidRPr="006D246E">
        <w:rPr>
          <w:sz w:val="24"/>
          <w:szCs w:val="24"/>
        </w:rPr>
        <w:t xml:space="preserve">ompared to the </w:t>
      </w:r>
      <w:r w:rsidR="0072118F">
        <w:rPr>
          <w:sz w:val="24"/>
          <w:szCs w:val="24"/>
        </w:rPr>
        <w:t>f</w:t>
      </w:r>
      <w:r w:rsidR="006D246E" w:rsidRPr="006D246E">
        <w:rPr>
          <w:sz w:val="24"/>
          <w:szCs w:val="24"/>
        </w:rPr>
        <w:t xml:space="preserve">inancial </w:t>
      </w:r>
      <w:r w:rsidR="0072118F">
        <w:rPr>
          <w:sz w:val="24"/>
          <w:szCs w:val="24"/>
        </w:rPr>
        <w:t>r</w:t>
      </w:r>
      <w:r w:rsidR="006D246E" w:rsidRPr="006D246E">
        <w:rPr>
          <w:sz w:val="24"/>
          <w:szCs w:val="24"/>
        </w:rPr>
        <w:t xml:space="preserve">eport for the </w:t>
      </w:r>
      <w:r w:rsidR="0072118F">
        <w:rPr>
          <w:sz w:val="24"/>
          <w:szCs w:val="24"/>
        </w:rPr>
        <w:t>p</w:t>
      </w:r>
      <w:r w:rsidR="006D246E" w:rsidRPr="006D246E">
        <w:rPr>
          <w:sz w:val="24"/>
          <w:szCs w:val="24"/>
        </w:rPr>
        <w:t xml:space="preserve">rior </w:t>
      </w:r>
      <w:r w:rsidR="0072118F">
        <w:rPr>
          <w:sz w:val="24"/>
          <w:szCs w:val="24"/>
        </w:rPr>
        <w:t>y</w:t>
      </w:r>
      <w:r w:rsidR="006D246E" w:rsidRPr="006D246E">
        <w:rPr>
          <w:sz w:val="24"/>
          <w:szCs w:val="24"/>
        </w:rPr>
        <w:t>ear</w:t>
      </w:r>
      <w:r w:rsidR="00BA4227" w:rsidRPr="006A53B7">
        <w:rPr>
          <w:sz w:val="24"/>
          <w:szCs w:val="24"/>
        </w:rPr>
        <w:t xml:space="preserve"> </w:t>
      </w:r>
    </w:p>
    <w:p w:rsidR="00BA4227" w:rsidRPr="006A53B7" w:rsidRDefault="00BA4227" w:rsidP="00331CC2">
      <w:pPr>
        <w:spacing w:before="0" w:after="0" w:line="360" w:lineRule="auto"/>
        <w:rPr>
          <w:sz w:val="24"/>
          <w:szCs w:val="24"/>
        </w:rPr>
      </w:pPr>
      <w:r w:rsidRPr="006A53B7">
        <w:rPr>
          <w:sz w:val="24"/>
          <w:szCs w:val="24"/>
          <w:cs/>
        </w:rPr>
        <w:t xml:space="preserve">√ </w:t>
      </w:r>
      <w:r w:rsidRPr="006A53B7">
        <w:rPr>
          <w:sz w:val="24"/>
          <w:szCs w:val="24"/>
        </w:rPr>
        <w:t xml:space="preserve">Applicable  </w:t>
      </w:r>
      <w:r w:rsidRPr="006A53B7">
        <w:rPr>
          <w:sz w:val="24"/>
          <w:szCs w:val="24"/>
          <w:cs/>
        </w:rPr>
        <w:t xml:space="preserve">□ </w:t>
      </w:r>
      <w:r w:rsidRPr="006A53B7">
        <w:rPr>
          <w:sz w:val="24"/>
          <w:szCs w:val="24"/>
        </w:rPr>
        <w:t xml:space="preserve">Not applicable </w:t>
      </w:r>
    </w:p>
    <w:p w:rsidR="00BA4227" w:rsidRPr="006A53B7" w:rsidRDefault="00204C47" w:rsidP="00331CC2">
      <w:pPr>
        <w:autoSpaceDE w:val="0"/>
        <w:autoSpaceDN w:val="0"/>
        <w:adjustRightInd w:val="0"/>
        <w:spacing w:before="0" w:after="0" w:line="360" w:lineRule="auto"/>
        <w:rPr>
          <w:sz w:val="24"/>
          <w:szCs w:val="24"/>
        </w:rPr>
      </w:pPr>
      <w:r>
        <w:rPr>
          <w:rFonts w:hint="eastAsia"/>
          <w:sz w:val="24"/>
          <w:szCs w:val="24"/>
          <w:lang w:eastAsia="zh-CN"/>
        </w:rPr>
        <w:t>(I)</w:t>
      </w:r>
      <w:r w:rsidR="00BA4227" w:rsidRPr="006A53B7">
        <w:rPr>
          <w:sz w:val="24"/>
          <w:szCs w:val="24"/>
        </w:rPr>
        <w:t xml:space="preserve"> On January </w:t>
      </w:r>
      <w:r w:rsidR="00654331" w:rsidRPr="006A53B7">
        <w:rPr>
          <w:sz w:val="24"/>
          <w:szCs w:val="24"/>
        </w:rPr>
        <w:t xml:space="preserve">30, </w:t>
      </w:r>
      <w:r w:rsidR="00BA4227" w:rsidRPr="006A53B7">
        <w:rPr>
          <w:sz w:val="24"/>
          <w:szCs w:val="24"/>
        </w:rPr>
        <w:t xml:space="preserve">2019, the Company held the Ninth Meeting of the Second Board of Directors, which approved the </w:t>
      </w:r>
      <w:r w:rsidR="00BA4227" w:rsidRPr="006A53B7">
        <w:rPr>
          <w:i/>
          <w:sz w:val="24"/>
          <w:szCs w:val="24"/>
        </w:rPr>
        <w:t>Proposal on Changing Accounting Policies</w:t>
      </w:r>
      <w:r w:rsidR="00BA4227" w:rsidRPr="006A53B7">
        <w:rPr>
          <w:sz w:val="24"/>
          <w:szCs w:val="24"/>
        </w:rPr>
        <w:t xml:space="preserve"> as follows:</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 xml:space="preserve">The Ministry of Finance issued the </w:t>
      </w:r>
      <w:r w:rsidRPr="006A53B7">
        <w:rPr>
          <w:i/>
          <w:sz w:val="24"/>
          <w:szCs w:val="24"/>
        </w:rPr>
        <w:t>Circular on Amending the Formats of Financial Statements of General Enterprises in 2018</w:t>
      </w:r>
      <w:r w:rsidRPr="006A53B7">
        <w:rPr>
          <w:sz w:val="24"/>
          <w:szCs w:val="24"/>
        </w:rPr>
        <w:t xml:space="preserve"> (C.K. [2018] No. 15) on June </w:t>
      </w:r>
      <w:r w:rsidR="00654331" w:rsidRPr="006A53B7">
        <w:rPr>
          <w:sz w:val="24"/>
          <w:szCs w:val="24"/>
        </w:rPr>
        <w:t xml:space="preserve">15, </w:t>
      </w:r>
      <w:r w:rsidRPr="006A53B7">
        <w:rPr>
          <w:sz w:val="24"/>
          <w:szCs w:val="24"/>
        </w:rPr>
        <w:t>2018. Accordingly, the Company adjusted the formats of statements for the reporting period and submitted the adjusted statements to the Ninth Meeting of the Second Board of Directors for consideration.</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The Company adjusted the presentation of the following financial statement items and the comparative data in the comparable accounting periods:</w:t>
      </w:r>
    </w:p>
    <w:p w:rsidR="00BA4227" w:rsidRPr="006A53B7" w:rsidRDefault="00204C47" w:rsidP="00331CC2">
      <w:pPr>
        <w:autoSpaceDE w:val="0"/>
        <w:autoSpaceDN w:val="0"/>
        <w:adjustRightInd w:val="0"/>
        <w:spacing w:before="0" w:after="0" w:line="360" w:lineRule="auto"/>
        <w:rPr>
          <w:sz w:val="24"/>
          <w:szCs w:val="24"/>
        </w:rPr>
      </w:pPr>
      <w:proofErr w:type="spellStart"/>
      <w:r>
        <w:rPr>
          <w:rFonts w:hint="eastAsia"/>
          <w:sz w:val="24"/>
          <w:szCs w:val="24"/>
          <w:lang w:eastAsia="zh-CN"/>
        </w:rPr>
        <w:t>i</w:t>
      </w:r>
      <w:proofErr w:type="spellEnd"/>
      <w:r>
        <w:rPr>
          <w:rFonts w:hint="eastAsia"/>
          <w:sz w:val="24"/>
          <w:szCs w:val="24"/>
          <w:lang w:eastAsia="zh-CN"/>
        </w:rPr>
        <w:t>.</w:t>
      </w:r>
      <w:r w:rsidR="00BA4227" w:rsidRPr="006A53B7">
        <w:rPr>
          <w:sz w:val="24"/>
          <w:szCs w:val="24"/>
        </w:rPr>
        <w:t xml:space="preserve"> Some items in the Balance Sheet were consolidated:</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w:t>
      </w:r>
      <w:proofErr w:type="spellStart"/>
      <w:r w:rsidR="00D320BF">
        <w:rPr>
          <w:rFonts w:hint="eastAsia"/>
          <w:sz w:val="24"/>
          <w:szCs w:val="24"/>
          <w:lang w:eastAsia="zh-CN"/>
        </w:rPr>
        <w:t>i</w:t>
      </w:r>
      <w:proofErr w:type="spellEnd"/>
      <w:r w:rsidRPr="006A53B7">
        <w:rPr>
          <w:sz w:val="24"/>
          <w:szCs w:val="24"/>
        </w:rPr>
        <w:t xml:space="preserve">) The original </w:t>
      </w:r>
      <w:r w:rsidR="00497C34" w:rsidRPr="006A53B7">
        <w:rPr>
          <w:sz w:val="24"/>
          <w:szCs w:val="24"/>
        </w:rPr>
        <w:t>“</w:t>
      </w:r>
      <w:r w:rsidRPr="006A53B7">
        <w:rPr>
          <w:sz w:val="24"/>
          <w:szCs w:val="24"/>
        </w:rPr>
        <w:t>notes receivable</w:t>
      </w:r>
      <w:r w:rsidR="00497C34" w:rsidRPr="006A53B7">
        <w:rPr>
          <w:sz w:val="24"/>
          <w:szCs w:val="24"/>
        </w:rPr>
        <w:t>”</w:t>
      </w:r>
      <w:r w:rsidRPr="006A53B7">
        <w:rPr>
          <w:sz w:val="24"/>
          <w:szCs w:val="24"/>
        </w:rPr>
        <w:t xml:space="preserve"> and </w:t>
      </w:r>
      <w:r w:rsidR="00497C34" w:rsidRPr="006A53B7">
        <w:rPr>
          <w:sz w:val="24"/>
          <w:szCs w:val="24"/>
        </w:rPr>
        <w:t>“</w:t>
      </w:r>
      <w:r w:rsidRPr="006A53B7">
        <w:rPr>
          <w:sz w:val="24"/>
          <w:szCs w:val="24"/>
        </w:rPr>
        <w:t>accounts receivable</w:t>
      </w:r>
      <w:r w:rsidR="00497C34" w:rsidRPr="006A53B7">
        <w:rPr>
          <w:sz w:val="24"/>
          <w:szCs w:val="24"/>
        </w:rPr>
        <w:t>”</w:t>
      </w:r>
      <w:r w:rsidRPr="006A53B7">
        <w:rPr>
          <w:sz w:val="24"/>
          <w:szCs w:val="24"/>
        </w:rPr>
        <w:t xml:space="preserve"> items were consolidated into the new </w:t>
      </w:r>
      <w:r w:rsidR="00497C34" w:rsidRPr="006A53B7">
        <w:rPr>
          <w:sz w:val="24"/>
          <w:szCs w:val="24"/>
        </w:rPr>
        <w:t>“</w:t>
      </w:r>
      <w:r w:rsidRPr="006A53B7">
        <w:rPr>
          <w:sz w:val="24"/>
          <w:szCs w:val="24"/>
        </w:rPr>
        <w:t>notes receivable and accounts receivable</w:t>
      </w:r>
      <w:r w:rsidR="00497C34" w:rsidRPr="006A53B7">
        <w:rPr>
          <w:sz w:val="24"/>
          <w:szCs w:val="24"/>
        </w:rPr>
        <w:t>”</w:t>
      </w:r>
      <w:r w:rsidRPr="006A53B7">
        <w:rPr>
          <w:sz w:val="24"/>
          <w:szCs w:val="24"/>
        </w:rPr>
        <w:t xml:space="preserve"> item;</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w:t>
      </w:r>
      <w:r w:rsidR="00D320BF">
        <w:rPr>
          <w:rFonts w:hint="eastAsia"/>
          <w:sz w:val="24"/>
          <w:szCs w:val="24"/>
          <w:lang w:eastAsia="zh-CN"/>
        </w:rPr>
        <w:t>ii</w:t>
      </w:r>
      <w:r w:rsidRPr="006A53B7">
        <w:rPr>
          <w:sz w:val="24"/>
          <w:szCs w:val="24"/>
        </w:rPr>
        <w:t xml:space="preserve">) The original </w:t>
      </w:r>
      <w:r w:rsidR="00497C34" w:rsidRPr="006A53B7">
        <w:rPr>
          <w:sz w:val="24"/>
          <w:szCs w:val="24"/>
        </w:rPr>
        <w:t>“</w:t>
      </w:r>
      <w:r w:rsidRPr="006A53B7">
        <w:rPr>
          <w:sz w:val="24"/>
          <w:szCs w:val="24"/>
        </w:rPr>
        <w:t>interests receivable</w:t>
      </w:r>
      <w:r w:rsidR="00497C34" w:rsidRPr="006A53B7">
        <w:rPr>
          <w:sz w:val="24"/>
          <w:szCs w:val="24"/>
        </w:rPr>
        <w:t>”</w:t>
      </w:r>
      <w:r w:rsidRPr="006A53B7">
        <w:rPr>
          <w:sz w:val="24"/>
          <w:szCs w:val="24"/>
        </w:rPr>
        <w:t xml:space="preserve">, </w:t>
      </w:r>
      <w:r w:rsidR="00497C34" w:rsidRPr="006A53B7">
        <w:rPr>
          <w:sz w:val="24"/>
          <w:szCs w:val="24"/>
        </w:rPr>
        <w:t>“</w:t>
      </w:r>
      <w:r w:rsidRPr="006A53B7">
        <w:rPr>
          <w:sz w:val="24"/>
          <w:szCs w:val="24"/>
        </w:rPr>
        <w:t>dividends receivable</w:t>
      </w:r>
      <w:r w:rsidR="00497C34" w:rsidRPr="006A53B7">
        <w:rPr>
          <w:sz w:val="24"/>
          <w:szCs w:val="24"/>
        </w:rPr>
        <w:t>”</w:t>
      </w:r>
      <w:r w:rsidRPr="006A53B7">
        <w:rPr>
          <w:sz w:val="24"/>
          <w:szCs w:val="24"/>
        </w:rPr>
        <w:t xml:space="preserve"> and </w:t>
      </w:r>
      <w:r w:rsidR="00497C34" w:rsidRPr="006A53B7">
        <w:rPr>
          <w:sz w:val="24"/>
          <w:szCs w:val="24"/>
        </w:rPr>
        <w:t>“</w:t>
      </w:r>
      <w:r w:rsidRPr="006A53B7">
        <w:rPr>
          <w:sz w:val="24"/>
          <w:szCs w:val="24"/>
        </w:rPr>
        <w:t>other receivables</w:t>
      </w:r>
      <w:r w:rsidR="00497C34" w:rsidRPr="006A53B7">
        <w:rPr>
          <w:sz w:val="24"/>
          <w:szCs w:val="24"/>
        </w:rPr>
        <w:t>”</w:t>
      </w:r>
      <w:r w:rsidRPr="006A53B7">
        <w:rPr>
          <w:sz w:val="24"/>
          <w:szCs w:val="24"/>
        </w:rPr>
        <w:t xml:space="preserve"> items were consolidated into the </w:t>
      </w:r>
      <w:r w:rsidR="00497C34" w:rsidRPr="006A53B7">
        <w:rPr>
          <w:sz w:val="24"/>
          <w:szCs w:val="24"/>
        </w:rPr>
        <w:t>“</w:t>
      </w:r>
      <w:r w:rsidRPr="006A53B7">
        <w:rPr>
          <w:sz w:val="24"/>
          <w:szCs w:val="24"/>
        </w:rPr>
        <w:t>other receivables</w:t>
      </w:r>
      <w:r w:rsidR="00497C34" w:rsidRPr="006A53B7">
        <w:rPr>
          <w:sz w:val="24"/>
          <w:szCs w:val="24"/>
        </w:rPr>
        <w:t>”</w:t>
      </w:r>
      <w:r w:rsidRPr="006A53B7">
        <w:rPr>
          <w:sz w:val="24"/>
          <w:szCs w:val="24"/>
        </w:rPr>
        <w:t xml:space="preserve"> item;</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w:t>
      </w:r>
      <w:r w:rsidR="00D320BF">
        <w:rPr>
          <w:rFonts w:hint="eastAsia"/>
          <w:sz w:val="24"/>
          <w:szCs w:val="24"/>
          <w:lang w:eastAsia="zh-CN"/>
        </w:rPr>
        <w:t>iii</w:t>
      </w:r>
      <w:r w:rsidRPr="006A53B7">
        <w:rPr>
          <w:sz w:val="24"/>
          <w:szCs w:val="24"/>
        </w:rPr>
        <w:t xml:space="preserve">) The original </w:t>
      </w:r>
      <w:r w:rsidR="00497C34" w:rsidRPr="006A53B7">
        <w:rPr>
          <w:sz w:val="24"/>
          <w:szCs w:val="24"/>
        </w:rPr>
        <w:t>“</w:t>
      </w:r>
      <w:r w:rsidRPr="006A53B7">
        <w:rPr>
          <w:sz w:val="24"/>
          <w:szCs w:val="24"/>
        </w:rPr>
        <w:t>fixed assets disposal</w:t>
      </w:r>
      <w:r w:rsidR="00497C34" w:rsidRPr="006A53B7">
        <w:rPr>
          <w:sz w:val="24"/>
          <w:szCs w:val="24"/>
        </w:rPr>
        <w:t>”</w:t>
      </w:r>
      <w:r w:rsidRPr="006A53B7">
        <w:rPr>
          <w:sz w:val="24"/>
          <w:szCs w:val="24"/>
        </w:rPr>
        <w:t xml:space="preserve"> and </w:t>
      </w:r>
      <w:r w:rsidR="00497C34" w:rsidRPr="006A53B7">
        <w:rPr>
          <w:sz w:val="24"/>
          <w:szCs w:val="24"/>
        </w:rPr>
        <w:t>“</w:t>
      </w:r>
      <w:r w:rsidRPr="006A53B7">
        <w:rPr>
          <w:sz w:val="24"/>
          <w:szCs w:val="24"/>
        </w:rPr>
        <w:t>fixed assets</w:t>
      </w:r>
      <w:r w:rsidR="00497C34" w:rsidRPr="006A53B7">
        <w:rPr>
          <w:sz w:val="24"/>
          <w:szCs w:val="24"/>
        </w:rPr>
        <w:t>”</w:t>
      </w:r>
      <w:r w:rsidRPr="006A53B7">
        <w:rPr>
          <w:sz w:val="24"/>
          <w:szCs w:val="24"/>
        </w:rPr>
        <w:t xml:space="preserve"> items were consolidated into the </w:t>
      </w:r>
      <w:r w:rsidR="00497C34" w:rsidRPr="006A53B7">
        <w:rPr>
          <w:sz w:val="24"/>
          <w:szCs w:val="24"/>
        </w:rPr>
        <w:t>“</w:t>
      </w:r>
      <w:r w:rsidRPr="006A53B7">
        <w:rPr>
          <w:sz w:val="24"/>
          <w:szCs w:val="24"/>
        </w:rPr>
        <w:t>fixed assets</w:t>
      </w:r>
      <w:r w:rsidR="00497C34" w:rsidRPr="006A53B7">
        <w:rPr>
          <w:sz w:val="24"/>
          <w:szCs w:val="24"/>
        </w:rPr>
        <w:t>”</w:t>
      </w:r>
      <w:r w:rsidRPr="006A53B7">
        <w:rPr>
          <w:sz w:val="24"/>
          <w:szCs w:val="24"/>
        </w:rPr>
        <w:t xml:space="preserve"> item;</w:t>
      </w:r>
    </w:p>
    <w:p w:rsidR="00BA4227" w:rsidRPr="006A53B7" w:rsidRDefault="00BA4227" w:rsidP="00331CC2">
      <w:pPr>
        <w:autoSpaceDE w:val="0"/>
        <w:autoSpaceDN w:val="0"/>
        <w:adjustRightInd w:val="0"/>
        <w:spacing w:before="0" w:after="0" w:line="360" w:lineRule="auto"/>
        <w:rPr>
          <w:sz w:val="24"/>
          <w:szCs w:val="24"/>
        </w:rPr>
      </w:pPr>
      <w:proofErr w:type="gramStart"/>
      <w:r w:rsidRPr="006A53B7">
        <w:rPr>
          <w:sz w:val="24"/>
          <w:szCs w:val="24"/>
        </w:rPr>
        <w:t>(</w:t>
      </w:r>
      <w:r w:rsidR="00D320BF">
        <w:rPr>
          <w:rFonts w:hint="eastAsia"/>
          <w:sz w:val="24"/>
          <w:szCs w:val="24"/>
          <w:lang w:eastAsia="zh-CN"/>
        </w:rPr>
        <w:t>iv</w:t>
      </w:r>
      <w:r w:rsidRPr="006A53B7">
        <w:rPr>
          <w:sz w:val="24"/>
          <w:szCs w:val="24"/>
        </w:rPr>
        <w:t>) The</w:t>
      </w:r>
      <w:proofErr w:type="gramEnd"/>
      <w:r w:rsidRPr="006A53B7">
        <w:rPr>
          <w:sz w:val="24"/>
          <w:szCs w:val="24"/>
        </w:rPr>
        <w:t xml:space="preserve"> original </w:t>
      </w:r>
      <w:r w:rsidR="00497C34" w:rsidRPr="006A53B7">
        <w:rPr>
          <w:sz w:val="24"/>
          <w:szCs w:val="24"/>
        </w:rPr>
        <w:t>“</w:t>
      </w:r>
      <w:r w:rsidRPr="006A53B7">
        <w:rPr>
          <w:sz w:val="24"/>
          <w:szCs w:val="24"/>
        </w:rPr>
        <w:t>engineering materials</w:t>
      </w:r>
      <w:r w:rsidR="00497C34" w:rsidRPr="006A53B7">
        <w:rPr>
          <w:sz w:val="24"/>
          <w:szCs w:val="24"/>
        </w:rPr>
        <w:t>”</w:t>
      </w:r>
      <w:r w:rsidRPr="006A53B7">
        <w:rPr>
          <w:sz w:val="24"/>
          <w:szCs w:val="24"/>
        </w:rPr>
        <w:t xml:space="preserve"> item was consolidated into the </w:t>
      </w:r>
      <w:r w:rsidR="00497C34" w:rsidRPr="006A53B7">
        <w:rPr>
          <w:sz w:val="24"/>
          <w:szCs w:val="24"/>
        </w:rPr>
        <w:t>“</w:t>
      </w:r>
      <w:r w:rsidRPr="006A53B7">
        <w:rPr>
          <w:sz w:val="24"/>
          <w:szCs w:val="24"/>
        </w:rPr>
        <w:t>construction in progress</w:t>
      </w:r>
      <w:r w:rsidR="00497C34" w:rsidRPr="006A53B7">
        <w:rPr>
          <w:sz w:val="24"/>
          <w:szCs w:val="24"/>
        </w:rPr>
        <w:t>”</w:t>
      </w:r>
      <w:r w:rsidRPr="006A53B7">
        <w:rPr>
          <w:sz w:val="24"/>
          <w:szCs w:val="24"/>
        </w:rPr>
        <w:t xml:space="preserve"> item;</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lastRenderedPageBreak/>
        <w:t>(</w:t>
      </w:r>
      <w:r w:rsidR="00D320BF">
        <w:rPr>
          <w:rFonts w:hint="eastAsia"/>
          <w:sz w:val="24"/>
          <w:szCs w:val="24"/>
          <w:lang w:eastAsia="zh-CN"/>
        </w:rPr>
        <w:t>v</w:t>
      </w:r>
      <w:r w:rsidRPr="006A53B7">
        <w:rPr>
          <w:sz w:val="24"/>
          <w:szCs w:val="24"/>
        </w:rPr>
        <w:t xml:space="preserve">) The original </w:t>
      </w:r>
      <w:r w:rsidR="00497C34" w:rsidRPr="006A53B7">
        <w:rPr>
          <w:sz w:val="24"/>
          <w:szCs w:val="24"/>
        </w:rPr>
        <w:t>“</w:t>
      </w:r>
      <w:r w:rsidRPr="006A53B7">
        <w:rPr>
          <w:sz w:val="24"/>
          <w:szCs w:val="24"/>
        </w:rPr>
        <w:t>notes payable</w:t>
      </w:r>
      <w:r w:rsidR="00497C34" w:rsidRPr="006A53B7">
        <w:rPr>
          <w:sz w:val="24"/>
          <w:szCs w:val="24"/>
        </w:rPr>
        <w:t>”</w:t>
      </w:r>
      <w:r w:rsidRPr="006A53B7">
        <w:rPr>
          <w:sz w:val="24"/>
          <w:szCs w:val="24"/>
        </w:rPr>
        <w:t xml:space="preserve"> and </w:t>
      </w:r>
      <w:r w:rsidR="00497C34" w:rsidRPr="006A53B7">
        <w:rPr>
          <w:sz w:val="24"/>
          <w:szCs w:val="24"/>
        </w:rPr>
        <w:t>“</w:t>
      </w:r>
      <w:r w:rsidRPr="006A53B7">
        <w:rPr>
          <w:sz w:val="24"/>
          <w:szCs w:val="24"/>
        </w:rPr>
        <w:t>accounts payable</w:t>
      </w:r>
      <w:r w:rsidR="00497C34" w:rsidRPr="006A53B7">
        <w:rPr>
          <w:sz w:val="24"/>
          <w:szCs w:val="24"/>
        </w:rPr>
        <w:t>”</w:t>
      </w:r>
      <w:r w:rsidRPr="006A53B7">
        <w:rPr>
          <w:sz w:val="24"/>
          <w:szCs w:val="24"/>
        </w:rPr>
        <w:t xml:space="preserve"> items were consolidated into the new </w:t>
      </w:r>
      <w:r w:rsidR="00497C34" w:rsidRPr="006A53B7">
        <w:rPr>
          <w:sz w:val="24"/>
          <w:szCs w:val="24"/>
        </w:rPr>
        <w:t>“</w:t>
      </w:r>
      <w:r w:rsidRPr="006A53B7">
        <w:rPr>
          <w:sz w:val="24"/>
          <w:szCs w:val="24"/>
        </w:rPr>
        <w:t>notes payable and accounts payable</w:t>
      </w:r>
      <w:r w:rsidR="00497C34" w:rsidRPr="006A53B7">
        <w:rPr>
          <w:sz w:val="24"/>
          <w:szCs w:val="24"/>
        </w:rPr>
        <w:t>”</w:t>
      </w:r>
      <w:r w:rsidRPr="006A53B7">
        <w:rPr>
          <w:sz w:val="24"/>
          <w:szCs w:val="24"/>
        </w:rPr>
        <w:t xml:space="preserve"> item;</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w:t>
      </w:r>
      <w:r w:rsidR="00D320BF">
        <w:rPr>
          <w:rFonts w:hint="eastAsia"/>
          <w:sz w:val="24"/>
          <w:szCs w:val="24"/>
          <w:lang w:eastAsia="zh-CN"/>
        </w:rPr>
        <w:t>vi</w:t>
      </w:r>
      <w:r w:rsidRPr="006A53B7">
        <w:rPr>
          <w:sz w:val="24"/>
          <w:szCs w:val="24"/>
        </w:rPr>
        <w:t xml:space="preserve">) The original </w:t>
      </w:r>
      <w:r w:rsidR="00497C34" w:rsidRPr="006A53B7">
        <w:rPr>
          <w:sz w:val="24"/>
          <w:szCs w:val="24"/>
        </w:rPr>
        <w:t>“</w:t>
      </w:r>
      <w:proofErr w:type="gramStart"/>
      <w:r w:rsidRPr="006A53B7">
        <w:rPr>
          <w:sz w:val="24"/>
          <w:szCs w:val="24"/>
        </w:rPr>
        <w:t>interests</w:t>
      </w:r>
      <w:proofErr w:type="gramEnd"/>
      <w:r w:rsidRPr="006A53B7">
        <w:rPr>
          <w:sz w:val="24"/>
          <w:szCs w:val="24"/>
        </w:rPr>
        <w:t xml:space="preserve"> payable</w:t>
      </w:r>
      <w:r w:rsidR="00497C34" w:rsidRPr="006A53B7">
        <w:rPr>
          <w:sz w:val="24"/>
          <w:szCs w:val="24"/>
        </w:rPr>
        <w:t>”</w:t>
      </w:r>
      <w:r w:rsidRPr="006A53B7">
        <w:rPr>
          <w:sz w:val="24"/>
          <w:szCs w:val="24"/>
        </w:rPr>
        <w:t xml:space="preserve">, </w:t>
      </w:r>
      <w:r w:rsidR="00497C34" w:rsidRPr="006A53B7">
        <w:rPr>
          <w:sz w:val="24"/>
          <w:szCs w:val="24"/>
        </w:rPr>
        <w:t>“</w:t>
      </w:r>
      <w:r w:rsidRPr="006A53B7">
        <w:rPr>
          <w:sz w:val="24"/>
          <w:szCs w:val="24"/>
        </w:rPr>
        <w:t>dividends payable</w:t>
      </w:r>
      <w:r w:rsidR="00497C34" w:rsidRPr="006A53B7">
        <w:rPr>
          <w:sz w:val="24"/>
          <w:szCs w:val="24"/>
        </w:rPr>
        <w:t>”</w:t>
      </w:r>
      <w:r w:rsidRPr="006A53B7">
        <w:rPr>
          <w:sz w:val="24"/>
          <w:szCs w:val="24"/>
        </w:rPr>
        <w:t xml:space="preserve"> and </w:t>
      </w:r>
      <w:r w:rsidR="00497C34" w:rsidRPr="006A53B7">
        <w:rPr>
          <w:sz w:val="24"/>
          <w:szCs w:val="24"/>
        </w:rPr>
        <w:t>“</w:t>
      </w:r>
      <w:r w:rsidRPr="006A53B7">
        <w:rPr>
          <w:sz w:val="24"/>
          <w:szCs w:val="24"/>
        </w:rPr>
        <w:t>other payables</w:t>
      </w:r>
      <w:r w:rsidR="00497C34" w:rsidRPr="006A53B7">
        <w:rPr>
          <w:sz w:val="24"/>
          <w:szCs w:val="24"/>
        </w:rPr>
        <w:t>”</w:t>
      </w:r>
      <w:r w:rsidRPr="006A53B7">
        <w:rPr>
          <w:sz w:val="24"/>
          <w:szCs w:val="24"/>
        </w:rPr>
        <w:t xml:space="preserve"> items were consolidated into the </w:t>
      </w:r>
      <w:r w:rsidR="00497C34" w:rsidRPr="006A53B7">
        <w:rPr>
          <w:sz w:val="24"/>
          <w:szCs w:val="24"/>
        </w:rPr>
        <w:t>“</w:t>
      </w:r>
      <w:r w:rsidRPr="006A53B7">
        <w:rPr>
          <w:sz w:val="24"/>
          <w:szCs w:val="24"/>
        </w:rPr>
        <w:t>other payables</w:t>
      </w:r>
      <w:r w:rsidR="00497C34" w:rsidRPr="006A53B7">
        <w:rPr>
          <w:sz w:val="24"/>
          <w:szCs w:val="24"/>
        </w:rPr>
        <w:t>”</w:t>
      </w:r>
      <w:r w:rsidRPr="006A53B7">
        <w:rPr>
          <w:sz w:val="24"/>
          <w:szCs w:val="24"/>
        </w:rPr>
        <w:t xml:space="preserve"> item;</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w:t>
      </w:r>
      <w:r w:rsidR="00D320BF">
        <w:rPr>
          <w:rFonts w:hint="eastAsia"/>
          <w:sz w:val="24"/>
          <w:szCs w:val="24"/>
          <w:lang w:eastAsia="zh-CN"/>
        </w:rPr>
        <w:t>vii</w:t>
      </w:r>
      <w:r w:rsidRPr="006A53B7">
        <w:rPr>
          <w:sz w:val="24"/>
          <w:szCs w:val="24"/>
        </w:rPr>
        <w:t xml:space="preserve">) The original </w:t>
      </w:r>
      <w:r w:rsidR="00497C34" w:rsidRPr="006A53B7">
        <w:rPr>
          <w:sz w:val="24"/>
          <w:szCs w:val="24"/>
        </w:rPr>
        <w:t>“</w:t>
      </w:r>
      <w:r w:rsidRPr="006A53B7">
        <w:rPr>
          <w:sz w:val="24"/>
          <w:szCs w:val="24"/>
        </w:rPr>
        <w:t>special payables</w:t>
      </w:r>
      <w:r w:rsidR="00497C34" w:rsidRPr="006A53B7">
        <w:rPr>
          <w:sz w:val="24"/>
          <w:szCs w:val="24"/>
        </w:rPr>
        <w:t>”</w:t>
      </w:r>
      <w:r w:rsidRPr="006A53B7">
        <w:rPr>
          <w:sz w:val="24"/>
          <w:szCs w:val="24"/>
        </w:rPr>
        <w:t xml:space="preserve"> item was consolidated into the </w:t>
      </w:r>
      <w:r w:rsidR="00497C34" w:rsidRPr="006A53B7">
        <w:rPr>
          <w:sz w:val="24"/>
          <w:szCs w:val="24"/>
        </w:rPr>
        <w:t>“</w:t>
      </w:r>
      <w:r w:rsidRPr="006A53B7">
        <w:rPr>
          <w:sz w:val="24"/>
          <w:szCs w:val="24"/>
        </w:rPr>
        <w:t>long-term payables</w:t>
      </w:r>
      <w:r w:rsidR="00497C34" w:rsidRPr="006A53B7">
        <w:rPr>
          <w:sz w:val="24"/>
          <w:szCs w:val="24"/>
        </w:rPr>
        <w:t>”</w:t>
      </w:r>
      <w:r w:rsidRPr="006A53B7">
        <w:rPr>
          <w:sz w:val="24"/>
          <w:szCs w:val="24"/>
        </w:rPr>
        <w:t xml:space="preserve"> item.</w:t>
      </w:r>
    </w:p>
    <w:p w:rsidR="00BA4227" w:rsidRPr="006A53B7" w:rsidRDefault="00204C47" w:rsidP="00331CC2">
      <w:pPr>
        <w:autoSpaceDE w:val="0"/>
        <w:autoSpaceDN w:val="0"/>
        <w:adjustRightInd w:val="0"/>
        <w:spacing w:before="0" w:after="0" w:line="360" w:lineRule="auto"/>
        <w:rPr>
          <w:sz w:val="24"/>
          <w:szCs w:val="24"/>
        </w:rPr>
      </w:pPr>
      <w:r>
        <w:rPr>
          <w:rFonts w:hint="eastAsia"/>
          <w:sz w:val="24"/>
          <w:szCs w:val="24"/>
          <w:lang w:eastAsia="zh-CN"/>
        </w:rPr>
        <w:t>ii.</w:t>
      </w:r>
      <w:r w:rsidR="00BA4227" w:rsidRPr="006A53B7">
        <w:rPr>
          <w:sz w:val="24"/>
          <w:szCs w:val="24"/>
        </w:rPr>
        <w:t xml:space="preserve"> In the Income Statement, items were split up, the sequence of some items was </w:t>
      </w:r>
      <w:r w:rsidR="006D246E">
        <w:rPr>
          <w:sz w:val="24"/>
          <w:szCs w:val="24"/>
        </w:rPr>
        <w:t>adjusted</w:t>
      </w:r>
      <w:r w:rsidR="00BA4227" w:rsidRPr="006A53B7">
        <w:rPr>
          <w:sz w:val="24"/>
          <w:szCs w:val="24"/>
        </w:rPr>
        <w:t>, and the descriptions of some items were simplified:</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w:t>
      </w:r>
      <w:proofErr w:type="spellStart"/>
      <w:r w:rsidR="00D320BF">
        <w:rPr>
          <w:rFonts w:hint="eastAsia"/>
          <w:sz w:val="24"/>
          <w:szCs w:val="24"/>
          <w:lang w:eastAsia="zh-CN"/>
        </w:rPr>
        <w:t>i</w:t>
      </w:r>
      <w:proofErr w:type="spellEnd"/>
      <w:r w:rsidRPr="006A53B7">
        <w:rPr>
          <w:sz w:val="24"/>
          <w:szCs w:val="24"/>
        </w:rPr>
        <w:t xml:space="preserve">) The </w:t>
      </w:r>
      <w:r w:rsidR="00497C34" w:rsidRPr="006A53B7">
        <w:rPr>
          <w:sz w:val="24"/>
          <w:szCs w:val="24"/>
          <w:cs/>
        </w:rPr>
        <w:t>“</w:t>
      </w:r>
      <w:r w:rsidRPr="006A53B7">
        <w:rPr>
          <w:sz w:val="24"/>
          <w:szCs w:val="24"/>
        </w:rPr>
        <w:t>R&amp;D expense</w:t>
      </w:r>
      <w:r w:rsidR="00497C34" w:rsidRPr="006A53B7">
        <w:rPr>
          <w:sz w:val="24"/>
          <w:szCs w:val="24"/>
          <w:cs/>
        </w:rPr>
        <w:t>”</w:t>
      </w:r>
      <w:r w:rsidR="00D17C15" w:rsidRPr="006A53B7">
        <w:rPr>
          <w:sz w:val="24"/>
          <w:szCs w:val="24"/>
          <w:cs/>
        </w:rPr>
        <w:t xml:space="preserve"> </w:t>
      </w:r>
      <w:r w:rsidRPr="006A53B7">
        <w:rPr>
          <w:sz w:val="24"/>
          <w:szCs w:val="24"/>
        </w:rPr>
        <w:t xml:space="preserve">item was added after separating the item from </w:t>
      </w:r>
      <w:r w:rsidR="00497C34" w:rsidRPr="006A53B7">
        <w:rPr>
          <w:sz w:val="24"/>
          <w:szCs w:val="24"/>
          <w:cs/>
        </w:rPr>
        <w:t>“</w:t>
      </w:r>
      <w:r w:rsidRPr="006A53B7">
        <w:rPr>
          <w:sz w:val="24"/>
          <w:szCs w:val="24"/>
        </w:rPr>
        <w:t>management expenses</w:t>
      </w:r>
      <w:r w:rsidR="00497C34" w:rsidRPr="006A53B7">
        <w:rPr>
          <w:sz w:val="24"/>
          <w:szCs w:val="24"/>
          <w:cs/>
        </w:rPr>
        <w:t>”</w:t>
      </w:r>
      <w:r w:rsidRPr="006A53B7">
        <w:rPr>
          <w:sz w:val="24"/>
          <w:szCs w:val="24"/>
        </w:rPr>
        <w:t>;</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w:t>
      </w:r>
      <w:r w:rsidR="00D320BF">
        <w:rPr>
          <w:rFonts w:hint="eastAsia"/>
          <w:sz w:val="24"/>
          <w:szCs w:val="24"/>
          <w:lang w:eastAsia="zh-CN"/>
        </w:rPr>
        <w:t>ii</w:t>
      </w:r>
      <w:r w:rsidRPr="006A53B7">
        <w:rPr>
          <w:sz w:val="24"/>
          <w:szCs w:val="24"/>
        </w:rPr>
        <w:t xml:space="preserve">) </w:t>
      </w:r>
      <w:r w:rsidR="00497C34" w:rsidRPr="006A53B7">
        <w:rPr>
          <w:sz w:val="24"/>
          <w:szCs w:val="24"/>
        </w:rPr>
        <w:t>“</w:t>
      </w:r>
      <w:r w:rsidR="00D17C15" w:rsidRPr="006A53B7">
        <w:rPr>
          <w:sz w:val="24"/>
          <w:szCs w:val="24"/>
        </w:rPr>
        <w:t>I</w:t>
      </w:r>
      <w:r w:rsidRPr="006A53B7">
        <w:rPr>
          <w:sz w:val="24"/>
          <w:szCs w:val="24"/>
        </w:rPr>
        <w:t>nterest expenses</w:t>
      </w:r>
      <w:r w:rsidR="00497C34" w:rsidRPr="006A53B7">
        <w:rPr>
          <w:sz w:val="24"/>
          <w:szCs w:val="24"/>
        </w:rPr>
        <w:t>”</w:t>
      </w:r>
      <w:r w:rsidRPr="006A53B7">
        <w:rPr>
          <w:sz w:val="24"/>
          <w:szCs w:val="24"/>
        </w:rPr>
        <w:t xml:space="preserve"> and </w:t>
      </w:r>
      <w:r w:rsidR="00497C34" w:rsidRPr="006A53B7">
        <w:rPr>
          <w:sz w:val="24"/>
          <w:szCs w:val="24"/>
        </w:rPr>
        <w:t>“</w:t>
      </w:r>
      <w:r w:rsidRPr="006A53B7">
        <w:rPr>
          <w:sz w:val="24"/>
          <w:szCs w:val="24"/>
        </w:rPr>
        <w:t>interest income</w:t>
      </w:r>
      <w:r w:rsidR="00497C34" w:rsidRPr="006A53B7">
        <w:rPr>
          <w:sz w:val="24"/>
          <w:szCs w:val="24"/>
        </w:rPr>
        <w:t>”</w:t>
      </w:r>
      <w:r w:rsidRPr="006A53B7">
        <w:rPr>
          <w:sz w:val="24"/>
          <w:szCs w:val="24"/>
        </w:rPr>
        <w:t xml:space="preserve"> </w:t>
      </w:r>
      <w:r w:rsidR="00D17C15" w:rsidRPr="006A53B7">
        <w:rPr>
          <w:sz w:val="24"/>
          <w:szCs w:val="24"/>
        </w:rPr>
        <w:t xml:space="preserve">were broken down </w:t>
      </w:r>
      <w:r w:rsidRPr="006A53B7">
        <w:rPr>
          <w:sz w:val="24"/>
          <w:szCs w:val="24"/>
        </w:rPr>
        <w:t xml:space="preserve">under the </w:t>
      </w:r>
      <w:r w:rsidR="00497C34" w:rsidRPr="006A53B7">
        <w:rPr>
          <w:sz w:val="24"/>
          <w:szCs w:val="24"/>
        </w:rPr>
        <w:t>“</w:t>
      </w:r>
      <w:r w:rsidRPr="006A53B7">
        <w:rPr>
          <w:sz w:val="24"/>
          <w:szCs w:val="24"/>
        </w:rPr>
        <w:t>financial expenses</w:t>
      </w:r>
      <w:r w:rsidR="00497C34" w:rsidRPr="006A53B7">
        <w:rPr>
          <w:sz w:val="24"/>
          <w:szCs w:val="24"/>
        </w:rPr>
        <w:t>”</w:t>
      </w:r>
      <w:r w:rsidRPr="006A53B7">
        <w:rPr>
          <w:sz w:val="24"/>
          <w:szCs w:val="24"/>
        </w:rPr>
        <w:t xml:space="preserve"> item.</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The changes in the Company</w:t>
      </w:r>
      <w:r w:rsidR="0023423F" w:rsidRPr="006A53B7">
        <w:rPr>
          <w:sz w:val="24"/>
          <w:szCs w:val="24"/>
        </w:rPr>
        <w:t>’</w:t>
      </w:r>
      <w:r w:rsidRPr="006A53B7">
        <w:rPr>
          <w:sz w:val="24"/>
          <w:szCs w:val="24"/>
        </w:rPr>
        <w:t>s accounting policies only involved the presentation and adjustments of financial statements. Apart from the effects of changes in the above items, there was no retrospective adjustment, and the changes had no substantial effects on the Company</w:t>
      </w:r>
      <w:r w:rsidR="0023423F" w:rsidRPr="006A53B7">
        <w:rPr>
          <w:sz w:val="24"/>
          <w:szCs w:val="24"/>
        </w:rPr>
        <w:t>’</w:t>
      </w:r>
      <w:r w:rsidRPr="006A53B7">
        <w:rPr>
          <w:sz w:val="24"/>
          <w:szCs w:val="24"/>
        </w:rPr>
        <w:t>s total assets, net assets, operating income and net profit.</w:t>
      </w:r>
    </w:p>
    <w:p w:rsidR="00BA4227" w:rsidRPr="006A53B7" w:rsidRDefault="00204C47" w:rsidP="00331CC2">
      <w:pPr>
        <w:autoSpaceDE w:val="0"/>
        <w:autoSpaceDN w:val="0"/>
        <w:adjustRightInd w:val="0"/>
        <w:spacing w:before="0" w:after="0" w:line="360" w:lineRule="auto"/>
        <w:rPr>
          <w:sz w:val="24"/>
          <w:szCs w:val="24"/>
        </w:rPr>
      </w:pPr>
      <w:r>
        <w:rPr>
          <w:rFonts w:hint="eastAsia"/>
          <w:sz w:val="24"/>
          <w:szCs w:val="24"/>
          <w:lang w:eastAsia="zh-CN"/>
        </w:rPr>
        <w:t>iii.</w:t>
      </w:r>
      <w:r w:rsidR="00BA4227" w:rsidRPr="006A53B7">
        <w:rPr>
          <w:sz w:val="24"/>
          <w:szCs w:val="24"/>
        </w:rPr>
        <w:t xml:space="preserve"> Refund of the personal income tax handling fee to the Company was recognized in the </w:t>
      </w:r>
      <w:r w:rsidR="00497C34" w:rsidRPr="006A53B7">
        <w:rPr>
          <w:sz w:val="24"/>
          <w:szCs w:val="24"/>
          <w:cs/>
        </w:rPr>
        <w:t>“</w:t>
      </w:r>
      <w:r w:rsidR="00BA4227" w:rsidRPr="006A53B7">
        <w:rPr>
          <w:sz w:val="24"/>
          <w:szCs w:val="24"/>
        </w:rPr>
        <w:t>other income</w:t>
      </w:r>
      <w:r w:rsidR="00497C34" w:rsidRPr="006A53B7">
        <w:rPr>
          <w:sz w:val="24"/>
          <w:szCs w:val="24"/>
          <w:cs/>
        </w:rPr>
        <w:t>”</w:t>
      </w:r>
      <w:r w:rsidR="00BA4227" w:rsidRPr="006A53B7">
        <w:rPr>
          <w:sz w:val="24"/>
          <w:szCs w:val="24"/>
        </w:rPr>
        <w:t>item.</w:t>
      </w:r>
    </w:p>
    <w:p w:rsidR="00BA4227" w:rsidRPr="006A53B7" w:rsidRDefault="00204C47" w:rsidP="00331CC2">
      <w:pPr>
        <w:autoSpaceDE w:val="0"/>
        <w:autoSpaceDN w:val="0"/>
        <w:adjustRightInd w:val="0"/>
        <w:spacing w:before="0" w:after="0" w:line="360" w:lineRule="auto"/>
        <w:rPr>
          <w:sz w:val="24"/>
          <w:szCs w:val="24"/>
        </w:rPr>
      </w:pPr>
      <w:r>
        <w:rPr>
          <w:rFonts w:hint="eastAsia"/>
          <w:sz w:val="24"/>
          <w:szCs w:val="24"/>
          <w:lang w:eastAsia="zh-CN"/>
        </w:rPr>
        <w:t>(II)</w:t>
      </w:r>
      <w:r w:rsidR="00BA4227" w:rsidRPr="006A53B7">
        <w:rPr>
          <w:sz w:val="24"/>
          <w:szCs w:val="24"/>
        </w:rPr>
        <w:t xml:space="preserve"> The Company plans to make the following changes to related accounting policies in accordance with the Accounting Standards for Business Enterprises revised and issued by the Ministry of Finance and relevant circulars released by the Shenzhen Stock Exchange:</w:t>
      </w:r>
    </w:p>
    <w:p w:rsidR="00BA4227" w:rsidRPr="006A53B7" w:rsidRDefault="00204C47" w:rsidP="00331CC2">
      <w:pPr>
        <w:autoSpaceDE w:val="0"/>
        <w:autoSpaceDN w:val="0"/>
        <w:adjustRightInd w:val="0"/>
        <w:spacing w:before="0" w:after="0" w:line="360" w:lineRule="auto"/>
        <w:rPr>
          <w:sz w:val="24"/>
          <w:szCs w:val="24"/>
        </w:rPr>
      </w:pPr>
      <w:proofErr w:type="spellStart"/>
      <w:r>
        <w:rPr>
          <w:rFonts w:hint="eastAsia"/>
          <w:sz w:val="24"/>
          <w:szCs w:val="24"/>
          <w:lang w:eastAsia="zh-CN"/>
        </w:rPr>
        <w:t>i</w:t>
      </w:r>
      <w:proofErr w:type="spellEnd"/>
      <w:r>
        <w:rPr>
          <w:rFonts w:hint="eastAsia"/>
          <w:sz w:val="24"/>
          <w:szCs w:val="24"/>
          <w:lang w:eastAsia="zh-CN"/>
        </w:rPr>
        <w:t>.</w:t>
      </w:r>
      <w:r w:rsidR="00BA4227" w:rsidRPr="006A53B7">
        <w:rPr>
          <w:sz w:val="24"/>
          <w:szCs w:val="24"/>
        </w:rPr>
        <w:t xml:space="preserve"> The Ministry of Finance issued the</w:t>
      </w:r>
      <w:r w:rsidR="00BA4227" w:rsidRPr="006A53B7">
        <w:rPr>
          <w:i/>
          <w:sz w:val="24"/>
          <w:szCs w:val="24"/>
        </w:rPr>
        <w:t xml:space="preserve"> Revised Accounting Standards for Business Enterprises No. 22</w:t>
      </w:r>
      <w:r w:rsidR="00BA4227" w:rsidRPr="006A53B7">
        <w:rPr>
          <w:i/>
          <w:sz w:val="24"/>
          <w:szCs w:val="24"/>
          <w:cs/>
        </w:rPr>
        <w:t>—</w:t>
      </w:r>
      <w:r w:rsidR="00BA4227" w:rsidRPr="006A53B7">
        <w:rPr>
          <w:i/>
          <w:sz w:val="24"/>
          <w:szCs w:val="24"/>
        </w:rPr>
        <w:t>Recognition and Measurement of Financial Instruments (2017)</w:t>
      </w:r>
      <w:r w:rsidR="00BA4227" w:rsidRPr="006A53B7">
        <w:rPr>
          <w:sz w:val="24"/>
          <w:szCs w:val="24"/>
        </w:rPr>
        <w:t xml:space="preserve"> (C.K. [2017] No. 7), the </w:t>
      </w:r>
      <w:r w:rsidR="00BA4227" w:rsidRPr="006A53B7">
        <w:rPr>
          <w:i/>
          <w:sz w:val="24"/>
          <w:szCs w:val="24"/>
        </w:rPr>
        <w:t>Revised Accounting Standards for Business Enterprises No. 23</w:t>
      </w:r>
      <w:r w:rsidR="00BA4227" w:rsidRPr="006A53B7">
        <w:rPr>
          <w:i/>
          <w:sz w:val="24"/>
          <w:szCs w:val="24"/>
          <w:cs/>
        </w:rPr>
        <w:t>—</w:t>
      </w:r>
      <w:r w:rsidR="00BA4227" w:rsidRPr="006A53B7">
        <w:rPr>
          <w:i/>
          <w:sz w:val="24"/>
          <w:szCs w:val="24"/>
        </w:rPr>
        <w:t>Transfer of Financial Assets (2017)</w:t>
      </w:r>
      <w:r w:rsidR="00BA4227" w:rsidRPr="006A53B7">
        <w:rPr>
          <w:sz w:val="24"/>
          <w:szCs w:val="24"/>
        </w:rPr>
        <w:t xml:space="preserve"> (C.K. [2017] No. 8), the </w:t>
      </w:r>
      <w:r w:rsidR="00BA4227" w:rsidRPr="006A53B7">
        <w:rPr>
          <w:i/>
          <w:sz w:val="24"/>
          <w:szCs w:val="24"/>
        </w:rPr>
        <w:t>Revised Accounting Standards for Business Enterprises No. 24</w:t>
      </w:r>
      <w:r w:rsidR="00BA4227" w:rsidRPr="006A53B7">
        <w:rPr>
          <w:i/>
          <w:sz w:val="24"/>
          <w:szCs w:val="24"/>
          <w:cs/>
        </w:rPr>
        <w:t>—</w:t>
      </w:r>
      <w:r w:rsidR="00BA4227" w:rsidRPr="006A53B7">
        <w:rPr>
          <w:i/>
          <w:sz w:val="24"/>
          <w:szCs w:val="24"/>
        </w:rPr>
        <w:t>Hedge Accounting (2017)</w:t>
      </w:r>
      <w:r w:rsidR="00BA4227" w:rsidRPr="006A53B7">
        <w:rPr>
          <w:sz w:val="24"/>
          <w:szCs w:val="24"/>
        </w:rPr>
        <w:t xml:space="preserve"> (C.K. [2017] No. 9) on March </w:t>
      </w:r>
      <w:r w:rsidR="00D17C15" w:rsidRPr="006A53B7">
        <w:rPr>
          <w:sz w:val="24"/>
          <w:szCs w:val="24"/>
        </w:rPr>
        <w:t xml:space="preserve">31, </w:t>
      </w:r>
      <w:r w:rsidR="00BA4227" w:rsidRPr="006A53B7">
        <w:rPr>
          <w:sz w:val="24"/>
          <w:szCs w:val="24"/>
        </w:rPr>
        <w:t xml:space="preserve">2017, and the </w:t>
      </w:r>
      <w:r w:rsidR="00BA4227" w:rsidRPr="006A53B7">
        <w:rPr>
          <w:i/>
          <w:sz w:val="24"/>
          <w:szCs w:val="24"/>
        </w:rPr>
        <w:t>Revised Accounting Standards for Business Enterprises No. 37</w:t>
      </w:r>
      <w:r w:rsidR="00BA4227" w:rsidRPr="006A53B7">
        <w:rPr>
          <w:i/>
          <w:sz w:val="24"/>
          <w:szCs w:val="24"/>
          <w:cs/>
        </w:rPr>
        <w:t>—</w:t>
      </w:r>
      <w:r w:rsidR="00BA4227" w:rsidRPr="006A53B7">
        <w:rPr>
          <w:i/>
          <w:sz w:val="24"/>
          <w:szCs w:val="24"/>
        </w:rPr>
        <w:t>Presentation of Financial Instruments (2017)</w:t>
      </w:r>
      <w:r w:rsidR="00BA4227" w:rsidRPr="006A53B7">
        <w:rPr>
          <w:sz w:val="24"/>
          <w:szCs w:val="24"/>
        </w:rPr>
        <w:t xml:space="preserve"> (C.K. [2017] No. 14) on May </w:t>
      </w:r>
      <w:r w:rsidR="00D17C15" w:rsidRPr="006A53B7">
        <w:rPr>
          <w:sz w:val="24"/>
          <w:szCs w:val="24"/>
        </w:rPr>
        <w:t xml:space="preserve">2, </w:t>
      </w:r>
      <w:r w:rsidR="00BA4227" w:rsidRPr="006A53B7">
        <w:rPr>
          <w:sz w:val="24"/>
          <w:szCs w:val="24"/>
        </w:rPr>
        <w:t>2017</w:t>
      </w:r>
      <w:r w:rsidR="00073D17" w:rsidRPr="006A53B7">
        <w:rPr>
          <w:sz w:val="24"/>
          <w:szCs w:val="24"/>
        </w:rPr>
        <w:t>,</w:t>
      </w:r>
      <w:r w:rsidR="00BA4227" w:rsidRPr="006A53B7">
        <w:rPr>
          <w:sz w:val="24"/>
          <w:szCs w:val="24"/>
        </w:rPr>
        <w:t xml:space="preserve"> (collectively referred to as the </w:t>
      </w:r>
      <w:r w:rsidR="00497C34" w:rsidRPr="006A53B7">
        <w:rPr>
          <w:sz w:val="24"/>
          <w:szCs w:val="24"/>
        </w:rPr>
        <w:t>“</w:t>
      </w:r>
      <w:r w:rsidR="00BA4227" w:rsidRPr="006A53B7">
        <w:rPr>
          <w:sz w:val="24"/>
          <w:szCs w:val="24"/>
        </w:rPr>
        <w:t>new financial instrument standards</w:t>
      </w:r>
      <w:r w:rsidR="00497C34" w:rsidRPr="006A53B7">
        <w:rPr>
          <w:sz w:val="24"/>
          <w:szCs w:val="24"/>
        </w:rPr>
        <w:t>”</w:t>
      </w:r>
      <w:r w:rsidR="00BA4227" w:rsidRPr="006A53B7">
        <w:rPr>
          <w:sz w:val="24"/>
          <w:szCs w:val="24"/>
        </w:rPr>
        <w:t xml:space="preserve">). All companies listed in the mainland are required to implement the new financial instrument standards from January </w:t>
      </w:r>
      <w:r w:rsidR="00D17C15" w:rsidRPr="006A53B7">
        <w:rPr>
          <w:sz w:val="24"/>
          <w:szCs w:val="24"/>
        </w:rPr>
        <w:t xml:space="preserve">1, </w:t>
      </w:r>
      <w:r w:rsidR="00BA4227" w:rsidRPr="006A53B7">
        <w:rPr>
          <w:sz w:val="24"/>
          <w:szCs w:val="24"/>
        </w:rPr>
        <w:t xml:space="preserve">2019. Consistent with the above requirement, the Company implemented the new financial instrument standards from January </w:t>
      </w:r>
      <w:r w:rsidR="00D17C15" w:rsidRPr="006A53B7">
        <w:rPr>
          <w:sz w:val="24"/>
          <w:szCs w:val="24"/>
        </w:rPr>
        <w:t xml:space="preserve">1, </w:t>
      </w:r>
      <w:r w:rsidR="00BA4227" w:rsidRPr="006A53B7">
        <w:rPr>
          <w:sz w:val="24"/>
          <w:szCs w:val="24"/>
        </w:rPr>
        <w:t xml:space="preserve">2019, and made corresponding changes to related accounting policies. </w:t>
      </w:r>
      <w:r w:rsidR="00D17C15" w:rsidRPr="006A53B7">
        <w:rPr>
          <w:sz w:val="24"/>
          <w:szCs w:val="24"/>
        </w:rPr>
        <w:t>As per</w:t>
      </w:r>
      <w:r w:rsidR="00BA4227" w:rsidRPr="006A53B7">
        <w:rPr>
          <w:sz w:val="24"/>
          <w:szCs w:val="24"/>
        </w:rPr>
        <w:t xml:space="preserve"> the requirements on transitional period set forth in the new financial instrument standards, the Company did not make any retrospective adjustments to the comparative statements for the same period of last year. Therefore, the accounting policy changes will not influence the Company</w:t>
      </w:r>
      <w:r w:rsidR="0023423F" w:rsidRPr="006A53B7">
        <w:rPr>
          <w:sz w:val="24"/>
          <w:szCs w:val="24"/>
        </w:rPr>
        <w:t>’</w:t>
      </w:r>
      <w:r w:rsidR="00BA4227" w:rsidRPr="006A53B7">
        <w:rPr>
          <w:sz w:val="24"/>
          <w:szCs w:val="24"/>
        </w:rPr>
        <w:t>s financial position and operating results in prior years.</w:t>
      </w:r>
    </w:p>
    <w:p w:rsidR="00BA4227" w:rsidRPr="006A53B7" w:rsidRDefault="00204C47" w:rsidP="00331CC2">
      <w:pPr>
        <w:autoSpaceDE w:val="0"/>
        <w:autoSpaceDN w:val="0"/>
        <w:adjustRightInd w:val="0"/>
        <w:spacing w:before="0" w:after="0" w:line="360" w:lineRule="auto"/>
        <w:rPr>
          <w:sz w:val="24"/>
          <w:szCs w:val="24"/>
        </w:rPr>
      </w:pPr>
      <w:proofErr w:type="gramStart"/>
      <w:r>
        <w:rPr>
          <w:rFonts w:hint="eastAsia"/>
          <w:sz w:val="24"/>
          <w:szCs w:val="24"/>
          <w:lang w:eastAsia="zh-CN"/>
        </w:rPr>
        <w:t>ii</w:t>
      </w:r>
      <w:proofErr w:type="gramEnd"/>
      <w:r>
        <w:rPr>
          <w:rFonts w:hint="eastAsia"/>
          <w:sz w:val="24"/>
          <w:szCs w:val="24"/>
          <w:lang w:eastAsia="zh-CN"/>
        </w:rPr>
        <w:t>.</w:t>
      </w:r>
      <w:r w:rsidR="00BA4227" w:rsidRPr="006A53B7">
        <w:rPr>
          <w:sz w:val="24"/>
          <w:szCs w:val="24"/>
        </w:rPr>
        <w:t xml:space="preserve"> The Ministry of Finance issued the</w:t>
      </w:r>
      <w:r w:rsidR="00BA4227" w:rsidRPr="006A53B7">
        <w:rPr>
          <w:i/>
          <w:sz w:val="24"/>
          <w:szCs w:val="24"/>
        </w:rPr>
        <w:t xml:space="preserve"> Revised Accounting Standards for Business Enterprises No. 14</w:t>
      </w:r>
      <w:r w:rsidR="00BA4227" w:rsidRPr="006A53B7">
        <w:rPr>
          <w:i/>
          <w:sz w:val="24"/>
          <w:szCs w:val="24"/>
          <w:cs/>
        </w:rPr>
        <w:t>—</w:t>
      </w:r>
      <w:r w:rsidR="00BA4227" w:rsidRPr="006A53B7">
        <w:rPr>
          <w:i/>
          <w:sz w:val="24"/>
          <w:szCs w:val="24"/>
        </w:rPr>
        <w:t>Revenue (2017)</w:t>
      </w:r>
      <w:r w:rsidR="00BA4227" w:rsidRPr="006A53B7">
        <w:rPr>
          <w:sz w:val="24"/>
          <w:szCs w:val="24"/>
        </w:rPr>
        <w:t xml:space="preserve"> (C.K. [2017] No. 22) on July </w:t>
      </w:r>
      <w:r w:rsidR="00D17C15" w:rsidRPr="006A53B7">
        <w:rPr>
          <w:sz w:val="24"/>
          <w:szCs w:val="24"/>
        </w:rPr>
        <w:t xml:space="preserve">5, </w:t>
      </w:r>
      <w:r w:rsidR="00BA4227" w:rsidRPr="006A53B7">
        <w:rPr>
          <w:sz w:val="24"/>
          <w:szCs w:val="24"/>
        </w:rPr>
        <w:t xml:space="preserve">2017. Enterprises listed both </w:t>
      </w:r>
      <w:r w:rsidR="00051723" w:rsidRPr="006A53B7">
        <w:rPr>
          <w:sz w:val="24"/>
          <w:szCs w:val="24"/>
        </w:rPr>
        <w:t xml:space="preserve">at </w:t>
      </w:r>
      <w:r w:rsidR="00BA4227" w:rsidRPr="006A53B7">
        <w:rPr>
          <w:sz w:val="24"/>
          <w:szCs w:val="24"/>
        </w:rPr>
        <w:t xml:space="preserve">home and abroad </w:t>
      </w:r>
      <w:r w:rsidR="00BA4227" w:rsidRPr="006A53B7">
        <w:rPr>
          <w:sz w:val="24"/>
          <w:szCs w:val="24"/>
        </w:rPr>
        <w:lastRenderedPageBreak/>
        <w:t xml:space="preserve">and those listed </w:t>
      </w:r>
      <w:r w:rsidR="00051723" w:rsidRPr="006A53B7">
        <w:rPr>
          <w:sz w:val="24"/>
          <w:szCs w:val="24"/>
        </w:rPr>
        <w:t xml:space="preserve">overseas </w:t>
      </w:r>
      <w:r w:rsidR="00BA4227" w:rsidRPr="006A53B7">
        <w:rPr>
          <w:sz w:val="24"/>
          <w:szCs w:val="24"/>
        </w:rPr>
        <w:t xml:space="preserve">and adopting the international financial reporting standards or accounting standards for business enterprises to prepare financial statements shall implement these Standards from January </w:t>
      </w:r>
      <w:r w:rsidR="00D17C15" w:rsidRPr="006A53B7">
        <w:rPr>
          <w:sz w:val="24"/>
          <w:szCs w:val="24"/>
        </w:rPr>
        <w:t xml:space="preserve">1, </w:t>
      </w:r>
      <w:r w:rsidR="00BA4227" w:rsidRPr="006A53B7">
        <w:rPr>
          <w:sz w:val="24"/>
          <w:szCs w:val="24"/>
        </w:rPr>
        <w:t xml:space="preserve">2018. Other domestically listed </w:t>
      </w:r>
      <w:r w:rsidR="00051723" w:rsidRPr="006A53B7">
        <w:rPr>
          <w:sz w:val="24"/>
          <w:szCs w:val="24"/>
        </w:rPr>
        <w:t xml:space="preserve">companies </w:t>
      </w:r>
      <w:r w:rsidR="00BA4227" w:rsidRPr="006A53B7">
        <w:rPr>
          <w:sz w:val="24"/>
          <w:szCs w:val="24"/>
        </w:rPr>
        <w:t xml:space="preserve">shall implement these Standards from January </w:t>
      </w:r>
      <w:r w:rsidR="00051723" w:rsidRPr="006A53B7">
        <w:rPr>
          <w:sz w:val="24"/>
          <w:szCs w:val="24"/>
        </w:rPr>
        <w:t xml:space="preserve">1, </w:t>
      </w:r>
      <w:r w:rsidR="00BA4227" w:rsidRPr="006A53B7">
        <w:rPr>
          <w:sz w:val="24"/>
          <w:szCs w:val="24"/>
        </w:rPr>
        <w:t xml:space="preserve">2020. Unlisted enterprises subject to the accounting standards for business </w:t>
      </w:r>
      <w:r w:rsidR="00051723" w:rsidRPr="006A53B7">
        <w:rPr>
          <w:sz w:val="24"/>
          <w:szCs w:val="24"/>
        </w:rPr>
        <w:t xml:space="preserve">companies </w:t>
      </w:r>
      <w:r w:rsidR="00BA4227" w:rsidRPr="006A53B7">
        <w:rPr>
          <w:sz w:val="24"/>
          <w:szCs w:val="24"/>
        </w:rPr>
        <w:t xml:space="preserve">shall implement these Standards from January </w:t>
      </w:r>
      <w:r w:rsidR="00051723" w:rsidRPr="006A53B7">
        <w:rPr>
          <w:sz w:val="24"/>
          <w:szCs w:val="24"/>
        </w:rPr>
        <w:t xml:space="preserve">1, </w:t>
      </w:r>
      <w:r w:rsidR="00BA4227" w:rsidRPr="006A53B7">
        <w:rPr>
          <w:sz w:val="24"/>
          <w:szCs w:val="24"/>
        </w:rPr>
        <w:t xml:space="preserve">2021. The Company needs to align its related accounting policies with the revisions. Based on the timetable of the Ministry of Finance, the Company is required to implement these Standards from January </w:t>
      </w:r>
      <w:r w:rsidR="00051723" w:rsidRPr="006A53B7">
        <w:rPr>
          <w:sz w:val="24"/>
          <w:szCs w:val="24"/>
        </w:rPr>
        <w:t xml:space="preserve">1, </w:t>
      </w:r>
      <w:r w:rsidR="00BA4227" w:rsidRPr="006A53B7">
        <w:rPr>
          <w:sz w:val="24"/>
          <w:szCs w:val="24"/>
        </w:rPr>
        <w:t>2020.</w:t>
      </w:r>
    </w:p>
    <w:p w:rsidR="00BA4227" w:rsidRPr="006A53B7" w:rsidRDefault="00204C47" w:rsidP="00331CC2">
      <w:pPr>
        <w:autoSpaceDE w:val="0"/>
        <w:autoSpaceDN w:val="0"/>
        <w:adjustRightInd w:val="0"/>
        <w:spacing w:before="0" w:after="0" w:line="360" w:lineRule="auto"/>
        <w:rPr>
          <w:sz w:val="24"/>
          <w:szCs w:val="24"/>
        </w:rPr>
      </w:pPr>
      <w:r>
        <w:rPr>
          <w:rFonts w:hint="eastAsia"/>
          <w:sz w:val="24"/>
          <w:szCs w:val="24"/>
          <w:lang w:eastAsia="zh-CN"/>
        </w:rPr>
        <w:t>iii.</w:t>
      </w:r>
      <w:r w:rsidR="00BA4227" w:rsidRPr="006A53B7">
        <w:rPr>
          <w:sz w:val="24"/>
          <w:szCs w:val="24"/>
        </w:rPr>
        <w:t xml:space="preserve"> The Ministry of Finance issued the </w:t>
      </w:r>
      <w:r w:rsidR="00BA4227" w:rsidRPr="006A53B7">
        <w:rPr>
          <w:i/>
          <w:sz w:val="24"/>
          <w:szCs w:val="24"/>
        </w:rPr>
        <w:t>Circular on Amending the Formats of Financial Statements of General Enterprises in 2019</w:t>
      </w:r>
      <w:r w:rsidR="00BA4227" w:rsidRPr="006A53B7">
        <w:rPr>
          <w:sz w:val="24"/>
          <w:szCs w:val="24"/>
        </w:rPr>
        <w:t xml:space="preserve"> (C.K. [2019] No. 6) on April </w:t>
      </w:r>
      <w:r w:rsidR="00051723" w:rsidRPr="006A53B7">
        <w:rPr>
          <w:sz w:val="24"/>
          <w:szCs w:val="24"/>
        </w:rPr>
        <w:t xml:space="preserve">30, </w:t>
      </w:r>
      <w:r w:rsidR="00BA4227" w:rsidRPr="006A53B7">
        <w:rPr>
          <w:sz w:val="24"/>
          <w:szCs w:val="24"/>
        </w:rPr>
        <w:t>2019</w:t>
      </w:r>
      <w:r w:rsidR="00073D17" w:rsidRPr="006A53B7">
        <w:rPr>
          <w:sz w:val="24"/>
          <w:szCs w:val="24"/>
        </w:rPr>
        <w:t>,</w:t>
      </w:r>
      <w:r w:rsidR="00BA4227" w:rsidRPr="006A53B7">
        <w:rPr>
          <w:sz w:val="24"/>
          <w:szCs w:val="24"/>
        </w:rPr>
        <w:t xml:space="preserve"> and the </w:t>
      </w:r>
      <w:r w:rsidR="00BA4227" w:rsidRPr="006A53B7">
        <w:rPr>
          <w:i/>
          <w:sz w:val="24"/>
          <w:szCs w:val="24"/>
        </w:rPr>
        <w:t>Circular on Amending the Formats of Consolidated Financial Statements in 2019</w:t>
      </w:r>
      <w:r w:rsidR="00BA4227" w:rsidRPr="006A53B7">
        <w:rPr>
          <w:sz w:val="24"/>
          <w:szCs w:val="24"/>
        </w:rPr>
        <w:t xml:space="preserve"> (C.K. [2019] No. 16) on September </w:t>
      </w:r>
      <w:r w:rsidR="00051723" w:rsidRPr="006A53B7">
        <w:rPr>
          <w:sz w:val="24"/>
          <w:szCs w:val="24"/>
        </w:rPr>
        <w:t xml:space="preserve">19, </w:t>
      </w:r>
      <w:r w:rsidR="00BA4227" w:rsidRPr="006A53B7">
        <w:rPr>
          <w:sz w:val="24"/>
          <w:szCs w:val="24"/>
        </w:rPr>
        <w:t xml:space="preserve">2019, containing amendments to the formats of consolidated financial statements and requiring companies to prepare consolidated financial statements for the year ended December </w:t>
      </w:r>
      <w:r w:rsidR="00051723" w:rsidRPr="006A53B7">
        <w:rPr>
          <w:sz w:val="24"/>
          <w:szCs w:val="24"/>
        </w:rPr>
        <w:t xml:space="preserve">31, </w:t>
      </w:r>
      <w:r w:rsidR="00BA4227" w:rsidRPr="006A53B7">
        <w:rPr>
          <w:sz w:val="24"/>
          <w:szCs w:val="24"/>
        </w:rPr>
        <w:t>2019</w:t>
      </w:r>
      <w:r w:rsidR="00051723" w:rsidRPr="006A53B7">
        <w:rPr>
          <w:sz w:val="24"/>
          <w:szCs w:val="24"/>
        </w:rPr>
        <w:t>,</w:t>
      </w:r>
      <w:r w:rsidR="00BA4227" w:rsidRPr="006A53B7">
        <w:rPr>
          <w:sz w:val="24"/>
          <w:szCs w:val="24"/>
        </w:rPr>
        <w:t xml:space="preserve"> and those for subsequent periods in line with the requirements of the accounting standards for business enterprises and related amendment circulars. Per the requirements of the above Amendment Circular, the Company needs to adjust the former format of consolidated financial statements. Based on the timetable of the Ministry of Finance, changes in the formats of financial statements will </w:t>
      </w:r>
      <w:r w:rsidR="003A6455" w:rsidRPr="006A53B7">
        <w:rPr>
          <w:sz w:val="24"/>
          <w:szCs w:val="24"/>
        </w:rPr>
        <w:t>first</w:t>
      </w:r>
      <w:r w:rsidR="003A6455">
        <w:rPr>
          <w:sz w:val="24"/>
          <w:szCs w:val="24"/>
        </w:rPr>
        <w:t>ly</w:t>
      </w:r>
      <w:r w:rsidR="003A6455" w:rsidRPr="006A53B7">
        <w:rPr>
          <w:sz w:val="24"/>
          <w:szCs w:val="24"/>
        </w:rPr>
        <w:t xml:space="preserve"> </w:t>
      </w:r>
      <w:r w:rsidR="00BA4227" w:rsidRPr="006A53B7">
        <w:rPr>
          <w:sz w:val="24"/>
          <w:szCs w:val="24"/>
        </w:rPr>
        <w:t xml:space="preserve">apply to the consolidated financial statements for the year ended December </w:t>
      </w:r>
      <w:r w:rsidR="00051723" w:rsidRPr="006A53B7">
        <w:rPr>
          <w:sz w:val="24"/>
          <w:szCs w:val="24"/>
        </w:rPr>
        <w:t xml:space="preserve">31, </w:t>
      </w:r>
      <w:r w:rsidR="00BA4227" w:rsidRPr="006A53B7">
        <w:rPr>
          <w:sz w:val="24"/>
          <w:szCs w:val="24"/>
        </w:rPr>
        <w:t>2019.</w:t>
      </w:r>
    </w:p>
    <w:p w:rsidR="00BA4227" w:rsidRPr="006A53B7" w:rsidRDefault="00BA4227" w:rsidP="00331CC2">
      <w:pPr>
        <w:autoSpaceDE w:val="0"/>
        <w:autoSpaceDN w:val="0"/>
        <w:adjustRightInd w:val="0"/>
        <w:spacing w:before="0" w:after="0" w:line="360" w:lineRule="auto"/>
        <w:rPr>
          <w:sz w:val="24"/>
          <w:szCs w:val="24"/>
        </w:rPr>
      </w:pPr>
      <w:r w:rsidRPr="006A53B7">
        <w:rPr>
          <w:sz w:val="24"/>
          <w:szCs w:val="24"/>
        </w:rPr>
        <w:t>The above-mentioned changes in the Company</w:t>
      </w:r>
      <w:r w:rsidR="0023423F" w:rsidRPr="006A53B7">
        <w:rPr>
          <w:sz w:val="24"/>
          <w:szCs w:val="24"/>
        </w:rPr>
        <w:t>’</w:t>
      </w:r>
      <w:r w:rsidRPr="006A53B7">
        <w:rPr>
          <w:sz w:val="24"/>
          <w:szCs w:val="24"/>
        </w:rPr>
        <w:t xml:space="preserve">s accounting policies only </w:t>
      </w:r>
      <w:r w:rsidR="003A6455">
        <w:rPr>
          <w:sz w:val="24"/>
          <w:szCs w:val="24"/>
        </w:rPr>
        <w:t>affect</w:t>
      </w:r>
      <w:r w:rsidR="003A6455" w:rsidRPr="006A53B7">
        <w:rPr>
          <w:sz w:val="24"/>
          <w:szCs w:val="24"/>
        </w:rPr>
        <w:t xml:space="preserve"> </w:t>
      </w:r>
      <w:r w:rsidRPr="006A53B7">
        <w:rPr>
          <w:sz w:val="24"/>
          <w:szCs w:val="24"/>
        </w:rPr>
        <w:t>the format of financial statements and how to present some items. There was no retrospective adjustment, and the changes had no substantial effects on the Company</w:t>
      </w:r>
      <w:r w:rsidR="0023423F" w:rsidRPr="006A53B7">
        <w:rPr>
          <w:sz w:val="24"/>
          <w:szCs w:val="24"/>
        </w:rPr>
        <w:t>’</w:t>
      </w:r>
      <w:r w:rsidRPr="006A53B7">
        <w:rPr>
          <w:sz w:val="24"/>
          <w:szCs w:val="24"/>
        </w:rPr>
        <w:t>s total assets, net assets, operating income and net profit. The accounting policy changes are required by national laws and regulations and comply with relevant regulations and actual conditions of the Company. They will not damage the interests of the Company and its shareholders.</w:t>
      </w:r>
    </w:p>
    <w:p w:rsidR="00BA4227" w:rsidRPr="006A53B7" w:rsidRDefault="00253882" w:rsidP="00331CC2">
      <w:pPr>
        <w:autoSpaceDE w:val="0"/>
        <w:autoSpaceDN w:val="0"/>
        <w:adjustRightInd w:val="0"/>
        <w:spacing w:before="0" w:after="0" w:line="360" w:lineRule="auto"/>
        <w:rPr>
          <w:sz w:val="24"/>
          <w:szCs w:val="24"/>
        </w:rPr>
      </w:pPr>
      <w:r w:rsidRPr="006A53B7">
        <w:rPr>
          <w:sz w:val="24"/>
          <w:szCs w:val="24"/>
        </w:rPr>
        <w:t>As per</w:t>
      </w:r>
      <w:r w:rsidR="00BA4227" w:rsidRPr="006A53B7">
        <w:rPr>
          <w:sz w:val="24"/>
          <w:szCs w:val="24"/>
        </w:rPr>
        <w:t xml:space="preserve"> relevant regulations, the Company submitted the above-mentioned accounting policy changes to the 19th Meeting of the Second Board of Directors for consideration.</w:t>
      </w:r>
    </w:p>
    <w:p w:rsidR="00BA4227" w:rsidRPr="006A53B7" w:rsidRDefault="00D320BF" w:rsidP="00331CC2">
      <w:pPr>
        <w:pStyle w:val="Section"/>
        <w:outlineLvl w:val="3"/>
        <w:rPr>
          <w:bCs w:val="0"/>
          <w:sz w:val="24"/>
          <w:szCs w:val="24"/>
        </w:rPr>
      </w:pPr>
      <w:r>
        <w:rPr>
          <w:rFonts w:hint="eastAsia"/>
          <w:sz w:val="24"/>
          <w:szCs w:val="24"/>
          <w:lang w:eastAsia="zh-CN"/>
        </w:rPr>
        <w:t xml:space="preserve">(2) </w:t>
      </w:r>
      <w:r w:rsidR="00BA4227" w:rsidRPr="006A53B7">
        <w:rPr>
          <w:sz w:val="24"/>
          <w:szCs w:val="24"/>
        </w:rPr>
        <w:t>Description of retrospective restatement due to the correction of material accounting errors during the reporting period</w:t>
      </w:r>
    </w:p>
    <w:p w:rsidR="00BA4227" w:rsidRPr="006A53B7" w:rsidRDefault="00BA4227" w:rsidP="00331CC2">
      <w:pPr>
        <w:spacing w:before="0" w:after="0" w:line="360" w:lineRule="auto"/>
        <w:rPr>
          <w:sz w:val="24"/>
          <w:szCs w:val="24"/>
        </w:rPr>
      </w:pPr>
      <w:r w:rsidRPr="006A53B7">
        <w:rPr>
          <w:sz w:val="24"/>
          <w:szCs w:val="24"/>
          <w:cs/>
        </w:rPr>
        <w:t xml:space="preserve">□ </w:t>
      </w:r>
      <w:r w:rsidRPr="006A53B7">
        <w:rPr>
          <w:sz w:val="24"/>
          <w:szCs w:val="24"/>
        </w:rPr>
        <w:t xml:space="preserve">Applicable     </w:t>
      </w:r>
      <w:r w:rsidRPr="006A53B7">
        <w:rPr>
          <w:sz w:val="24"/>
          <w:szCs w:val="24"/>
          <w:cs/>
        </w:rPr>
        <w:t xml:space="preserve">√ </w:t>
      </w:r>
      <w:r w:rsidRPr="006A53B7">
        <w:rPr>
          <w:sz w:val="24"/>
          <w:szCs w:val="24"/>
        </w:rPr>
        <w:t xml:space="preserve">Not applicable </w:t>
      </w:r>
    </w:p>
    <w:p w:rsidR="00BA4227" w:rsidRPr="006A53B7" w:rsidRDefault="00BA4227" w:rsidP="00331CC2">
      <w:pPr>
        <w:rPr>
          <w:sz w:val="24"/>
          <w:szCs w:val="24"/>
        </w:rPr>
      </w:pPr>
      <w:r w:rsidRPr="006A53B7">
        <w:rPr>
          <w:sz w:val="24"/>
          <w:szCs w:val="24"/>
        </w:rPr>
        <w:t xml:space="preserve">The Company did not have </w:t>
      </w:r>
      <w:r w:rsidR="00253882" w:rsidRPr="006A53B7">
        <w:rPr>
          <w:sz w:val="24"/>
          <w:szCs w:val="24"/>
        </w:rPr>
        <w:t xml:space="preserve">any </w:t>
      </w:r>
      <w:r w:rsidRPr="006A53B7">
        <w:rPr>
          <w:sz w:val="24"/>
          <w:szCs w:val="24"/>
        </w:rPr>
        <w:t>correction of material accounting errors for retrospective restatement during the reporting period.</w:t>
      </w:r>
    </w:p>
    <w:p w:rsidR="00BA4227" w:rsidRPr="006A53B7" w:rsidRDefault="00D320BF" w:rsidP="00331CC2">
      <w:pPr>
        <w:pStyle w:val="Section"/>
        <w:outlineLvl w:val="3"/>
        <w:rPr>
          <w:bCs w:val="0"/>
          <w:sz w:val="24"/>
          <w:szCs w:val="24"/>
        </w:rPr>
      </w:pPr>
      <w:r>
        <w:rPr>
          <w:rFonts w:hint="eastAsia"/>
          <w:sz w:val="24"/>
          <w:szCs w:val="24"/>
          <w:lang w:eastAsia="zh-CN"/>
        </w:rPr>
        <w:t xml:space="preserve">(3) </w:t>
      </w:r>
      <w:r w:rsidR="00BA4227" w:rsidRPr="006A53B7">
        <w:rPr>
          <w:sz w:val="24"/>
          <w:szCs w:val="24"/>
        </w:rPr>
        <w:t>Description of any change</w:t>
      </w:r>
      <w:r w:rsidR="003A6455">
        <w:rPr>
          <w:sz w:val="24"/>
          <w:szCs w:val="24"/>
        </w:rPr>
        <w:t>s</w:t>
      </w:r>
      <w:r w:rsidR="00BA4227" w:rsidRPr="006A53B7">
        <w:rPr>
          <w:sz w:val="24"/>
          <w:szCs w:val="24"/>
        </w:rPr>
        <w:t xml:space="preserve"> in consolidation </w:t>
      </w:r>
      <w:r w:rsidR="003A6455">
        <w:rPr>
          <w:sz w:val="24"/>
          <w:szCs w:val="24"/>
        </w:rPr>
        <w:t>statements</w:t>
      </w:r>
      <w:r w:rsidR="00B90483">
        <w:rPr>
          <w:sz w:val="24"/>
          <w:szCs w:val="24"/>
        </w:rPr>
        <w:t xml:space="preserve"> </w:t>
      </w:r>
      <w:r w:rsidR="00BA4227" w:rsidRPr="006A53B7">
        <w:rPr>
          <w:sz w:val="24"/>
          <w:szCs w:val="24"/>
        </w:rPr>
        <w:t>over the 2018 financial report</w:t>
      </w:r>
    </w:p>
    <w:p w:rsidR="00BA4227" w:rsidRPr="006A53B7" w:rsidRDefault="00BA4227" w:rsidP="00331CC2">
      <w:pPr>
        <w:spacing w:before="0" w:after="0" w:line="360" w:lineRule="auto"/>
        <w:rPr>
          <w:sz w:val="24"/>
          <w:szCs w:val="24"/>
        </w:rPr>
      </w:pPr>
      <w:r w:rsidRPr="006A53B7">
        <w:rPr>
          <w:sz w:val="24"/>
          <w:szCs w:val="24"/>
          <w:cs/>
        </w:rPr>
        <w:t xml:space="preserve">□ </w:t>
      </w:r>
      <w:r w:rsidRPr="006A53B7">
        <w:rPr>
          <w:sz w:val="24"/>
          <w:szCs w:val="24"/>
        </w:rPr>
        <w:t xml:space="preserve">Applicable     </w:t>
      </w:r>
      <w:r w:rsidRPr="006A53B7">
        <w:rPr>
          <w:sz w:val="24"/>
          <w:szCs w:val="24"/>
          <w:cs/>
        </w:rPr>
        <w:t xml:space="preserve">√ </w:t>
      </w:r>
      <w:r w:rsidRPr="006A53B7">
        <w:rPr>
          <w:sz w:val="24"/>
          <w:szCs w:val="24"/>
        </w:rPr>
        <w:t xml:space="preserve">Not applicable </w:t>
      </w:r>
    </w:p>
    <w:p w:rsidR="00BA4227" w:rsidRPr="006A53B7" w:rsidRDefault="00BA4227" w:rsidP="00331CC2">
      <w:pPr>
        <w:rPr>
          <w:sz w:val="24"/>
          <w:szCs w:val="24"/>
        </w:rPr>
      </w:pPr>
      <w:r w:rsidRPr="006A53B7">
        <w:rPr>
          <w:sz w:val="24"/>
          <w:szCs w:val="24"/>
        </w:rPr>
        <w:lastRenderedPageBreak/>
        <w:t xml:space="preserve">The Company did not </w:t>
      </w:r>
      <w:r w:rsidR="008419FC">
        <w:rPr>
          <w:sz w:val="24"/>
          <w:szCs w:val="24"/>
        </w:rPr>
        <w:t>have</w:t>
      </w:r>
      <w:r w:rsidR="008419FC" w:rsidRPr="006A53B7">
        <w:rPr>
          <w:sz w:val="24"/>
          <w:szCs w:val="24"/>
        </w:rPr>
        <w:t xml:space="preserve"> </w:t>
      </w:r>
      <w:r w:rsidRPr="006A53B7">
        <w:rPr>
          <w:sz w:val="24"/>
          <w:szCs w:val="24"/>
        </w:rPr>
        <w:t>any change</w:t>
      </w:r>
      <w:r w:rsidR="00B90483">
        <w:rPr>
          <w:sz w:val="24"/>
          <w:szCs w:val="24"/>
        </w:rPr>
        <w:t>s</w:t>
      </w:r>
      <w:r w:rsidRPr="006A53B7">
        <w:rPr>
          <w:sz w:val="24"/>
          <w:szCs w:val="24"/>
        </w:rPr>
        <w:t xml:space="preserve"> in its consolidation </w:t>
      </w:r>
      <w:r w:rsidR="00B90483">
        <w:rPr>
          <w:sz w:val="24"/>
          <w:szCs w:val="24"/>
        </w:rPr>
        <w:t>statements</w:t>
      </w:r>
      <w:r w:rsidR="00B90483" w:rsidRPr="006A53B7">
        <w:rPr>
          <w:sz w:val="24"/>
          <w:szCs w:val="24"/>
        </w:rPr>
        <w:t xml:space="preserve"> </w:t>
      </w:r>
      <w:r w:rsidRPr="006A53B7">
        <w:rPr>
          <w:sz w:val="24"/>
          <w:szCs w:val="24"/>
        </w:rPr>
        <w:t>during the reporting period.</w:t>
      </w:r>
    </w:p>
    <w:sectPr w:rsidR="00BA4227" w:rsidRPr="006A53B7" w:rsidSect="0053451A">
      <w:headerReference w:type="default" r:id="rId7"/>
      <w:footerReference w:type="default" r:id="rId8"/>
      <w:pgSz w:w="11906" w:h="16838"/>
      <w:pgMar w:top="1440" w:right="1134" w:bottom="144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1F3" w:rsidRDefault="006751F3">
      <w:pPr>
        <w:spacing w:before="0" w:after="0"/>
      </w:pPr>
      <w:r>
        <w:separator/>
      </w:r>
    </w:p>
  </w:endnote>
  <w:endnote w:type="continuationSeparator" w:id="0">
    <w:p w:rsidR="006751F3" w:rsidRDefault="006751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D23" w:rsidRDefault="00EE4D23">
    <w:pPr>
      <w:pStyle w:val="a5"/>
    </w:pPr>
    <w:r>
      <w:fldChar w:fldCharType="begin"/>
    </w:r>
    <w:r>
      <w:instrText xml:space="preserve"> PAGE </w:instrText>
    </w:r>
    <w:r>
      <w:fldChar w:fldCharType="separate"/>
    </w:r>
    <w:r w:rsidR="00854DF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1F3" w:rsidRDefault="006751F3">
      <w:pPr>
        <w:spacing w:before="0" w:after="0"/>
      </w:pPr>
      <w:r>
        <w:separator/>
      </w:r>
    </w:p>
  </w:footnote>
  <w:footnote w:type="continuationSeparator" w:id="0">
    <w:p w:rsidR="006751F3" w:rsidRDefault="006751F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D23" w:rsidRDefault="00EE4D23">
    <w:pPr>
      <w:pStyle w:val="a4"/>
    </w:pPr>
    <w:r>
      <w:t>Summary of the 2019 Annual Report of JL MAG Rare-Earth Co., 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20"/>
    <w:rsid w:val="00005F70"/>
    <w:rsid w:val="0002603B"/>
    <w:rsid w:val="00051723"/>
    <w:rsid w:val="00073D17"/>
    <w:rsid w:val="00091B2D"/>
    <w:rsid w:val="000D62DC"/>
    <w:rsid w:val="00107D38"/>
    <w:rsid w:val="00121004"/>
    <w:rsid w:val="00136CEB"/>
    <w:rsid w:val="00142555"/>
    <w:rsid w:val="001634C9"/>
    <w:rsid w:val="00180414"/>
    <w:rsid w:val="00195399"/>
    <w:rsid w:val="001D10AE"/>
    <w:rsid w:val="001E0D40"/>
    <w:rsid w:val="001E30AC"/>
    <w:rsid w:val="00204C47"/>
    <w:rsid w:val="0023423F"/>
    <w:rsid w:val="00237B38"/>
    <w:rsid w:val="00253882"/>
    <w:rsid w:val="00266B8D"/>
    <w:rsid w:val="00286A57"/>
    <w:rsid w:val="0029184B"/>
    <w:rsid w:val="002D7DE2"/>
    <w:rsid w:val="002F793B"/>
    <w:rsid w:val="0031655B"/>
    <w:rsid w:val="00331CC2"/>
    <w:rsid w:val="0033325C"/>
    <w:rsid w:val="00350825"/>
    <w:rsid w:val="00373426"/>
    <w:rsid w:val="00374E42"/>
    <w:rsid w:val="00380D11"/>
    <w:rsid w:val="003A393F"/>
    <w:rsid w:val="003A6455"/>
    <w:rsid w:val="003B589B"/>
    <w:rsid w:val="003B7A10"/>
    <w:rsid w:val="003E0032"/>
    <w:rsid w:val="004034CD"/>
    <w:rsid w:val="00431C0D"/>
    <w:rsid w:val="00445DA7"/>
    <w:rsid w:val="004701F9"/>
    <w:rsid w:val="00497C34"/>
    <w:rsid w:val="004A5226"/>
    <w:rsid w:val="004C23D0"/>
    <w:rsid w:val="004C7423"/>
    <w:rsid w:val="004F0789"/>
    <w:rsid w:val="00502074"/>
    <w:rsid w:val="00514FF2"/>
    <w:rsid w:val="00523175"/>
    <w:rsid w:val="0053451A"/>
    <w:rsid w:val="00581579"/>
    <w:rsid w:val="005A14A2"/>
    <w:rsid w:val="005A71FF"/>
    <w:rsid w:val="005B2CED"/>
    <w:rsid w:val="005B361F"/>
    <w:rsid w:val="005C561C"/>
    <w:rsid w:val="005C679F"/>
    <w:rsid w:val="005D40A9"/>
    <w:rsid w:val="005E1446"/>
    <w:rsid w:val="00621E01"/>
    <w:rsid w:val="00646405"/>
    <w:rsid w:val="00650D3D"/>
    <w:rsid w:val="00651607"/>
    <w:rsid w:val="00654331"/>
    <w:rsid w:val="00655789"/>
    <w:rsid w:val="00662FE7"/>
    <w:rsid w:val="00664E65"/>
    <w:rsid w:val="006751F3"/>
    <w:rsid w:val="006978E5"/>
    <w:rsid w:val="006A53B7"/>
    <w:rsid w:val="006D246E"/>
    <w:rsid w:val="0072118F"/>
    <w:rsid w:val="00746668"/>
    <w:rsid w:val="00764635"/>
    <w:rsid w:val="007810B7"/>
    <w:rsid w:val="007A3889"/>
    <w:rsid w:val="007C7AF3"/>
    <w:rsid w:val="007D137E"/>
    <w:rsid w:val="007E691B"/>
    <w:rsid w:val="00800CC8"/>
    <w:rsid w:val="00804EDE"/>
    <w:rsid w:val="00805587"/>
    <w:rsid w:val="00810046"/>
    <w:rsid w:val="008213F5"/>
    <w:rsid w:val="008419FC"/>
    <w:rsid w:val="00851B55"/>
    <w:rsid w:val="00854DFC"/>
    <w:rsid w:val="00887C5A"/>
    <w:rsid w:val="00897E09"/>
    <w:rsid w:val="008D1B18"/>
    <w:rsid w:val="008E579C"/>
    <w:rsid w:val="0091550F"/>
    <w:rsid w:val="00927CD1"/>
    <w:rsid w:val="0094388D"/>
    <w:rsid w:val="00950CCF"/>
    <w:rsid w:val="0095458A"/>
    <w:rsid w:val="00971A0B"/>
    <w:rsid w:val="0097376D"/>
    <w:rsid w:val="0097588D"/>
    <w:rsid w:val="009B7534"/>
    <w:rsid w:val="00A0516A"/>
    <w:rsid w:val="00A0546E"/>
    <w:rsid w:val="00A0794F"/>
    <w:rsid w:val="00A21B23"/>
    <w:rsid w:val="00AA1A31"/>
    <w:rsid w:val="00AC2449"/>
    <w:rsid w:val="00AC709C"/>
    <w:rsid w:val="00B46D0C"/>
    <w:rsid w:val="00B545AA"/>
    <w:rsid w:val="00B60C1D"/>
    <w:rsid w:val="00B70518"/>
    <w:rsid w:val="00B8197E"/>
    <w:rsid w:val="00B90483"/>
    <w:rsid w:val="00BA2846"/>
    <w:rsid w:val="00BA4227"/>
    <w:rsid w:val="00BE2E03"/>
    <w:rsid w:val="00BF7EAD"/>
    <w:rsid w:val="00C9159F"/>
    <w:rsid w:val="00C95CF5"/>
    <w:rsid w:val="00CA1688"/>
    <w:rsid w:val="00CA33DB"/>
    <w:rsid w:val="00CC1244"/>
    <w:rsid w:val="00CD5B85"/>
    <w:rsid w:val="00CE5350"/>
    <w:rsid w:val="00D17C15"/>
    <w:rsid w:val="00D320BF"/>
    <w:rsid w:val="00D606CF"/>
    <w:rsid w:val="00D87268"/>
    <w:rsid w:val="00D94148"/>
    <w:rsid w:val="00DB4F5C"/>
    <w:rsid w:val="00DC2DE6"/>
    <w:rsid w:val="00DC450B"/>
    <w:rsid w:val="00DC4983"/>
    <w:rsid w:val="00DD5766"/>
    <w:rsid w:val="00DE1C21"/>
    <w:rsid w:val="00DF7205"/>
    <w:rsid w:val="00DF7920"/>
    <w:rsid w:val="00E04479"/>
    <w:rsid w:val="00E2139B"/>
    <w:rsid w:val="00E244B0"/>
    <w:rsid w:val="00E26598"/>
    <w:rsid w:val="00E443AD"/>
    <w:rsid w:val="00E4566E"/>
    <w:rsid w:val="00E52052"/>
    <w:rsid w:val="00EE1EE5"/>
    <w:rsid w:val="00EE48FF"/>
    <w:rsid w:val="00EE4D23"/>
    <w:rsid w:val="00F31F3C"/>
    <w:rsid w:val="00F55415"/>
    <w:rsid w:val="00F63826"/>
    <w:rsid w:val="00F9247F"/>
    <w:rsid w:val="00FA5010"/>
    <w:rsid w:val="00FB222B"/>
    <w:rsid w:val="00FB3910"/>
    <w:rsid w:val="00FD1A10"/>
    <w:rsid w:val="00FD7742"/>
    <w:rsid w:val="00FE1322"/>
    <w:rsid w:val="00FE71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F53BE1-4770-3146-9BC5-07E9B2A0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51A"/>
    <w:pPr>
      <w:widowControl w:val="0"/>
      <w:spacing w:before="40" w:after="40"/>
      <w:jc w:val="both"/>
    </w:pPr>
    <w:rPr>
      <w:rFonts w:ascii="Times New Roman" w:eastAsia="宋体" w:hAnsi="Times New Roman"/>
      <w:kern w:val="2"/>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53451A"/>
    <w:pPr>
      <w:keepNext/>
      <w:keepLines/>
      <w:spacing w:before="340" w:after="330" w:line="578" w:lineRule="auto"/>
      <w:jc w:val="center"/>
    </w:pPr>
    <w:rPr>
      <w:b/>
      <w:bCs/>
      <w:kern w:val="32"/>
      <w:sz w:val="32"/>
      <w:szCs w:val="32"/>
    </w:rPr>
  </w:style>
  <w:style w:type="character" w:customStyle="1" w:styleId="Char">
    <w:name w:val="标题 Char"/>
    <w:link w:val="a3"/>
    <w:uiPriority w:val="10"/>
    <w:rsid w:val="0053451A"/>
    <w:rPr>
      <w:rFonts w:ascii="等线 Light" w:eastAsia="宋体" w:hAnsi="等线 Light" w:cs="Times New Roman"/>
      <w:b/>
      <w:bCs/>
      <w:sz w:val="32"/>
      <w:szCs w:val="32"/>
      <w:lang w:val="en-US" w:eastAsia="en-US"/>
    </w:rPr>
  </w:style>
  <w:style w:type="paragraph" w:customStyle="1" w:styleId="Chapter">
    <w:name w:val="Chapter"/>
    <w:next w:val="a"/>
    <w:uiPriority w:val="99"/>
    <w:rsid w:val="0053451A"/>
    <w:pPr>
      <w:keepNext/>
      <w:keepLines/>
      <w:widowControl w:val="0"/>
      <w:spacing w:before="300" w:after="300" w:line="241" w:lineRule="auto"/>
      <w:jc w:val="both"/>
    </w:pPr>
    <w:rPr>
      <w:rFonts w:ascii="Times New Roman" w:eastAsia="宋体" w:hAnsi="Times New Roman"/>
      <w:b/>
      <w:bCs/>
      <w:kern w:val="28"/>
      <w:sz w:val="24"/>
      <w:szCs w:val="24"/>
      <w:lang w:val="en-US"/>
    </w:rPr>
  </w:style>
  <w:style w:type="paragraph" w:customStyle="1" w:styleId="Section">
    <w:name w:val="Section"/>
    <w:next w:val="a"/>
    <w:uiPriority w:val="99"/>
    <w:rsid w:val="0053451A"/>
    <w:pPr>
      <w:keepNext/>
      <w:keepLines/>
      <w:widowControl w:val="0"/>
      <w:spacing w:before="300" w:after="300" w:line="241" w:lineRule="auto"/>
      <w:jc w:val="both"/>
    </w:pPr>
    <w:rPr>
      <w:rFonts w:ascii="Times New Roman" w:eastAsia="宋体" w:hAnsi="Times New Roman"/>
      <w:b/>
      <w:bCs/>
      <w:kern w:val="28"/>
      <w:sz w:val="21"/>
      <w:szCs w:val="21"/>
      <w:lang w:val="en-US"/>
    </w:rPr>
  </w:style>
  <w:style w:type="paragraph" w:styleId="a4">
    <w:name w:val="header"/>
    <w:basedOn w:val="a"/>
    <w:link w:val="Char0"/>
    <w:uiPriority w:val="99"/>
    <w:rsid w:val="0053451A"/>
    <w:pPr>
      <w:pBdr>
        <w:bottom w:val="single" w:sz="6" w:space="1" w:color="auto"/>
      </w:pBdr>
      <w:tabs>
        <w:tab w:val="center" w:pos="4153"/>
        <w:tab w:val="right" w:pos="8306"/>
      </w:tabs>
      <w:snapToGrid w:val="0"/>
      <w:spacing w:before="0" w:after="0"/>
      <w:jc w:val="right"/>
    </w:pPr>
  </w:style>
  <w:style w:type="character" w:customStyle="1" w:styleId="Char0">
    <w:name w:val="页眉 Char"/>
    <w:link w:val="a4"/>
    <w:uiPriority w:val="99"/>
    <w:semiHidden/>
    <w:rsid w:val="0053451A"/>
    <w:rPr>
      <w:rFonts w:ascii="Times New Roman" w:eastAsia="宋体" w:hAnsi="Times New Roman" w:cs="Times New Roman"/>
      <w:sz w:val="18"/>
      <w:szCs w:val="18"/>
      <w:lang w:val="en-US" w:eastAsia="en-US"/>
    </w:rPr>
  </w:style>
  <w:style w:type="paragraph" w:styleId="a5">
    <w:name w:val="footer"/>
    <w:basedOn w:val="a"/>
    <w:link w:val="Char1"/>
    <w:uiPriority w:val="99"/>
    <w:rsid w:val="0053451A"/>
    <w:pPr>
      <w:tabs>
        <w:tab w:val="center" w:pos="4153"/>
        <w:tab w:val="right" w:pos="8306"/>
      </w:tabs>
      <w:snapToGrid w:val="0"/>
      <w:spacing w:before="0" w:after="0"/>
      <w:jc w:val="right"/>
    </w:pPr>
  </w:style>
  <w:style w:type="character" w:customStyle="1" w:styleId="Char1">
    <w:name w:val="页脚 Char"/>
    <w:link w:val="a5"/>
    <w:uiPriority w:val="99"/>
    <w:semiHidden/>
    <w:rsid w:val="0053451A"/>
    <w:rPr>
      <w:rFonts w:ascii="Times New Roman" w:eastAsia="宋体" w:hAnsi="Times New Roman" w:cs="Times New Roman"/>
      <w:sz w:val="18"/>
      <w:szCs w:val="18"/>
      <w:lang w:val="en-US" w:eastAsia="en-US"/>
    </w:rPr>
  </w:style>
  <w:style w:type="paragraph" w:styleId="a6">
    <w:name w:val="Balloon Text"/>
    <w:basedOn w:val="a"/>
    <w:link w:val="Char2"/>
    <w:uiPriority w:val="99"/>
    <w:semiHidden/>
    <w:unhideWhenUsed/>
    <w:rsid w:val="00E112D2"/>
    <w:pPr>
      <w:spacing w:before="0" w:after="0"/>
    </w:pPr>
  </w:style>
  <w:style w:type="character" w:customStyle="1" w:styleId="Char2">
    <w:name w:val="批注框文本 Char"/>
    <w:link w:val="a6"/>
    <w:uiPriority w:val="99"/>
    <w:semiHidden/>
    <w:rsid w:val="00E112D2"/>
    <w:rPr>
      <w:rFonts w:ascii="Times New Roman" w:eastAsia="宋体" w:hAnsi="Times New Roman" w:cs="Times New Roman"/>
      <w:sz w:val="18"/>
      <w:szCs w:val="18"/>
      <w:lang w:val="en-US" w:eastAsia="en-US"/>
    </w:rPr>
  </w:style>
  <w:style w:type="character" w:styleId="a7">
    <w:name w:val="annotation reference"/>
    <w:basedOn w:val="a0"/>
    <w:uiPriority w:val="99"/>
    <w:semiHidden/>
    <w:unhideWhenUsed/>
    <w:rsid w:val="00204C47"/>
    <w:rPr>
      <w:sz w:val="21"/>
      <w:szCs w:val="21"/>
    </w:rPr>
  </w:style>
  <w:style w:type="paragraph" w:styleId="a8">
    <w:name w:val="annotation text"/>
    <w:basedOn w:val="a"/>
    <w:link w:val="Char3"/>
    <w:uiPriority w:val="99"/>
    <w:semiHidden/>
    <w:unhideWhenUsed/>
    <w:rsid w:val="00204C47"/>
    <w:pPr>
      <w:jc w:val="left"/>
    </w:pPr>
  </w:style>
  <w:style w:type="character" w:customStyle="1" w:styleId="Char3">
    <w:name w:val="批注文字 Char"/>
    <w:basedOn w:val="a0"/>
    <w:link w:val="a8"/>
    <w:uiPriority w:val="99"/>
    <w:semiHidden/>
    <w:rsid w:val="00204C47"/>
    <w:rPr>
      <w:rFonts w:ascii="Times New Roman" w:eastAsia="宋体" w:hAnsi="Times New Roman"/>
      <w:kern w:val="2"/>
      <w:sz w:val="18"/>
      <w:szCs w:val="18"/>
      <w:lang w:val="en-US"/>
    </w:rPr>
  </w:style>
  <w:style w:type="paragraph" w:styleId="a9">
    <w:name w:val="annotation subject"/>
    <w:basedOn w:val="a8"/>
    <w:next w:val="a8"/>
    <w:link w:val="Char4"/>
    <w:uiPriority w:val="99"/>
    <w:semiHidden/>
    <w:unhideWhenUsed/>
    <w:rsid w:val="00204C47"/>
    <w:rPr>
      <w:b/>
      <w:bCs/>
    </w:rPr>
  </w:style>
  <w:style w:type="character" w:customStyle="1" w:styleId="Char4">
    <w:name w:val="批注主题 Char"/>
    <w:basedOn w:val="Char3"/>
    <w:link w:val="a9"/>
    <w:uiPriority w:val="99"/>
    <w:semiHidden/>
    <w:rsid w:val="00204C47"/>
    <w:rPr>
      <w:rFonts w:ascii="Times New Roman" w:eastAsia="宋体" w:hAnsi="Times New Roman"/>
      <w:b/>
      <w:bCs/>
      <w:kern w:val="2"/>
      <w:sz w:val="18"/>
      <w:szCs w:val="18"/>
      <w:lang w:val="en-US"/>
    </w:rPr>
  </w:style>
  <w:style w:type="character" w:customStyle="1" w:styleId="skip">
    <w:name w:val="skip"/>
    <w:basedOn w:val="a0"/>
    <w:rsid w:val="00F31F3C"/>
  </w:style>
  <w:style w:type="character" w:styleId="aa">
    <w:name w:val="Hyperlink"/>
    <w:basedOn w:val="a0"/>
    <w:uiPriority w:val="99"/>
    <w:semiHidden/>
    <w:unhideWhenUsed/>
    <w:rsid w:val="00F31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江西金力永磁科技股份有限公司2019年年度报告摘要</vt:lpstr>
    </vt:vector>
  </TitlesOfParts>
  <Company>Microsoft</Company>
  <LinksUpToDate>false</LinksUpToDate>
  <CharactersWithSpaces>29483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江西金力永磁科技股份有限公司2019年年度报告摘要</dc:title>
  <dc:creator>江西金力永磁科技股份有限公司</dc:creator>
  <cp:lastModifiedBy>李 Abraham</cp:lastModifiedBy>
  <cp:revision>6</cp:revision>
  <dcterms:created xsi:type="dcterms:W3CDTF">2020-09-02T06:58:00Z</dcterms:created>
  <dcterms:modified xsi:type="dcterms:W3CDTF">2020-09-02T07:04:00Z</dcterms:modified>
</cp:coreProperties>
</file>